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CD53" w14:textId="77777777" w:rsidR="001D6BFF" w:rsidRDefault="001D6BFF" w:rsidP="001D6BFF">
      <w:pPr>
        <w:pStyle w:val="SemEspaamento"/>
        <w:jc w:val="center"/>
        <w:rPr>
          <w:rFonts w:ascii="Bookman Old Style" w:hAnsi="Bookman Old Style"/>
          <w:b/>
          <w:sz w:val="36"/>
          <w:szCs w:val="36"/>
        </w:rPr>
      </w:pPr>
    </w:p>
    <w:p w14:paraId="7BA7B880" w14:textId="77777777" w:rsidR="001D6BFF" w:rsidRDefault="001D6BFF" w:rsidP="001D6BFF">
      <w:pPr>
        <w:pStyle w:val="SemEspaamento"/>
        <w:jc w:val="center"/>
        <w:rPr>
          <w:rFonts w:ascii="Bookman Old Style" w:hAnsi="Bookman Old Style"/>
          <w:b/>
          <w:sz w:val="36"/>
          <w:szCs w:val="36"/>
        </w:rPr>
      </w:pPr>
      <w:r w:rsidRPr="008645AB">
        <w:rPr>
          <w:rFonts w:ascii="Bookman Old Style" w:hAnsi="Bookman Old Style"/>
          <w:b/>
          <w:sz w:val="36"/>
          <w:szCs w:val="36"/>
        </w:rPr>
        <w:t>DOCUMENTAÇÃO NECESSARIA PARA AVERBAÇÃO DO GEORREFERENCIAMENTO</w:t>
      </w:r>
    </w:p>
    <w:p w14:paraId="6C5DEE0C" w14:textId="77777777" w:rsidR="00BB099F" w:rsidRDefault="00BB099F" w:rsidP="001D6BFF">
      <w:pPr>
        <w:pStyle w:val="SemEspaamento"/>
        <w:jc w:val="center"/>
        <w:rPr>
          <w:rFonts w:ascii="Bookman Old Style" w:hAnsi="Bookman Old Style"/>
          <w:b/>
          <w:sz w:val="36"/>
          <w:szCs w:val="36"/>
        </w:rPr>
      </w:pPr>
    </w:p>
    <w:p w14:paraId="6A8243C2" w14:textId="77777777" w:rsidR="00BB099F" w:rsidRPr="00BB099F" w:rsidRDefault="00BB099F" w:rsidP="001D6BFF">
      <w:pPr>
        <w:pStyle w:val="SemEspaamento"/>
        <w:jc w:val="center"/>
        <w:rPr>
          <w:rFonts w:ascii="Bookman Old Style" w:hAnsi="Bookman Old Style"/>
          <w:b/>
          <w:sz w:val="36"/>
          <w:szCs w:val="36"/>
        </w:rPr>
      </w:pPr>
      <w:r w:rsidRPr="00BB099F">
        <w:rPr>
          <w:rFonts w:ascii="Bookman Old Style" w:hAnsi="Bookman Old Style"/>
          <w:b/>
        </w:rPr>
        <w:t>Nos termos do Provimento n.º 22/2019 CGJ</w:t>
      </w:r>
      <w:r>
        <w:rPr>
          <w:rFonts w:ascii="Bookman Old Style" w:hAnsi="Bookman Old Style"/>
          <w:b/>
        </w:rPr>
        <w:t>, de 19/06/2019</w:t>
      </w:r>
    </w:p>
    <w:p w14:paraId="226E5DFE" w14:textId="77777777" w:rsidR="001D6BFF" w:rsidRDefault="001D6BFF" w:rsidP="001D6BFF">
      <w:pPr>
        <w:pStyle w:val="SemEspaamento"/>
        <w:jc w:val="center"/>
        <w:rPr>
          <w:rFonts w:ascii="Bookman Old Style" w:hAnsi="Bookman Old Style"/>
          <w:b/>
          <w:sz w:val="36"/>
          <w:szCs w:val="36"/>
        </w:rPr>
      </w:pPr>
    </w:p>
    <w:p w14:paraId="7F189E0E" w14:textId="5D4FA9B0" w:rsidR="00BB099F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i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I -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Requerimento firmado pelo proprietário, com firma reconhecida, solicitando a averbação de certificação de georreferenciamento, no qual conterá 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(Art. 13 da Lei n. 6.015/73):</w:t>
      </w:r>
    </w:p>
    <w:p w14:paraId="542DBF38" w14:textId="77777777" w:rsidR="007C223E" w:rsidRPr="00540CA4" w:rsidRDefault="007C223E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6E74758C" w14:textId="7A0DB1F7" w:rsidR="00BB099F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>a)</w:t>
      </w:r>
      <w:r w:rsidR="008423D2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em se tratando de pessoa jurídica: a qualificação, em especial, o nome, razão ou denominação social, endereço, telefone e endereço eletrônico de contato (</w:t>
      </w:r>
      <w:r w:rsidRPr="00540CA4">
        <w:rPr>
          <w:rFonts w:ascii="Bookman Old Style" w:eastAsia="Calibri" w:hAnsi="Bookman Old Style" w:cs="TimesNewRoman,Italic"/>
          <w:i/>
          <w:iCs/>
          <w:sz w:val="22"/>
          <w:szCs w:val="22"/>
        </w:rPr>
        <w:t>e-mail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), e o número de inscrição no CNPJ/MF, bem como o número da carteira de identidade e do CPF/MF do representante contratual ou estatutário ou procurador com poderes </w:t>
      </w:r>
      <w:r w:rsidR="00F34B66" w:rsidRPr="00540CA4">
        <w:rPr>
          <w:rFonts w:ascii="Bookman Old Style" w:eastAsia="Calibri" w:hAnsi="Bookman Old Style" w:cs="TimesNewRoman"/>
          <w:sz w:val="22"/>
          <w:szCs w:val="22"/>
        </w:rPr>
        <w:t>específicos</w:t>
      </w:r>
      <w:r w:rsidRPr="00540CA4">
        <w:rPr>
          <w:rFonts w:ascii="Bookman Old Style" w:eastAsia="Calibri" w:hAnsi="Bookman Old Style" w:cs="TimesNewRoman"/>
          <w:sz w:val="22"/>
          <w:szCs w:val="22"/>
        </w:rPr>
        <w:t>;</w:t>
      </w:r>
    </w:p>
    <w:p w14:paraId="7A713CC6" w14:textId="77777777" w:rsidR="007C223E" w:rsidRPr="00540CA4" w:rsidRDefault="007C223E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04CE5C72" w14:textId="13B532E4" w:rsidR="00BB099F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>b)</w:t>
      </w:r>
      <w:r w:rsidR="008423D2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em se tratando de pessoa física: a qualificação, em especial, o nome, endereço, telefone e endereço eletrônico de contato (</w:t>
      </w:r>
      <w:r w:rsidRPr="00540CA4">
        <w:rPr>
          <w:rFonts w:ascii="Bookman Old Style" w:eastAsia="Calibri" w:hAnsi="Bookman Old Style" w:cs="TimesNewRoman,Italic"/>
          <w:i/>
          <w:iCs/>
          <w:sz w:val="22"/>
          <w:szCs w:val="22"/>
        </w:rPr>
        <w:t>e-mail</w:t>
      </w:r>
      <w:r w:rsidRPr="00540CA4">
        <w:rPr>
          <w:rFonts w:ascii="Bookman Old Style" w:eastAsia="Calibri" w:hAnsi="Bookman Old Style" w:cs="TimesNewRoman"/>
          <w:sz w:val="22"/>
          <w:szCs w:val="22"/>
        </w:rPr>
        <w:t>), bem como o número da carteira de identidade e do CPF/MF;</w:t>
      </w:r>
    </w:p>
    <w:p w14:paraId="296E1425" w14:textId="77777777" w:rsidR="007C223E" w:rsidRPr="00540CA4" w:rsidRDefault="007C223E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7BBD3A22" w14:textId="7F079592" w:rsidR="00BB099F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b.1)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se for casado, o pedido deverá ser assinado por ambos os cônjuges 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 xml:space="preserve">(Art. </w:t>
      </w:r>
      <w:r w:rsidR="00E433D9">
        <w:rPr>
          <w:rFonts w:ascii="Bookman Old Style" w:eastAsia="Calibri" w:hAnsi="Bookman Old Style" w:cs="TimesNewRoman"/>
          <w:i/>
          <w:sz w:val="22"/>
          <w:szCs w:val="22"/>
        </w:rPr>
        <w:t>701, I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, da CNGCE)</w:t>
      </w:r>
      <w:r w:rsidRPr="00540CA4">
        <w:rPr>
          <w:rFonts w:ascii="Bookman Old Style" w:eastAsia="Calibri" w:hAnsi="Bookman Old Style" w:cs="TimesNewRoman"/>
          <w:sz w:val="22"/>
          <w:szCs w:val="22"/>
        </w:rPr>
        <w:t>;</w:t>
      </w:r>
    </w:p>
    <w:p w14:paraId="610202D7" w14:textId="77777777" w:rsidR="007C223E" w:rsidRPr="00540CA4" w:rsidRDefault="007C223E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256C1773" w14:textId="2533D53D" w:rsidR="00BB099F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>c)</w:t>
      </w:r>
      <w:r w:rsidR="008423D2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no pedido deverá constar, também, o valor do imóvel, para fins fiscais 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(Art. 1.199, c da CNGCE)</w:t>
      </w:r>
      <w:r w:rsidRPr="00540CA4">
        <w:rPr>
          <w:rFonts w:ascii="Bookman Old Style" w:eastAsia="Calibri" w:hAnsi="Bookman Old Style" w:cs="TimesNewRoman"/>
          <w:sz w:val="22"/>
          <w:szCs w:val="22"/>
        </w:rPr>
        <w:t>;</w:t>
      </w:r>
    </w:p>
    <w:p w14:paraId="5088448C" w14:textId="77777777" w:rsidR="007C223E" w:rsidRPr="00540CA4" w:rsidRDefault="007C223E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3ECC5C3C" w14:textId="421364C4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>d)</w:t>
      </w:r>
      <w:r w:rsidR="008423D2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em caso de condomínio, os proprietários firmarão o requerimento. Todavia, não sendo possível a coleta das assinaturas de todos, o condômino faltante será notificado pelo registrador, acerca do pedido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 xml:space="preserve">(Art. </w:t>
      </w:r>
      <w:r w:rsidR="00E433D9">
        <w:rPr>
          <w:rFonts w:ascii="Bookman Old Style" w:eastAsia="Calibri" w:hAnsi="Bookman Old Style" w:cs="TimesNewRoman"/>
          <w:i/>
          <w:sz w:val="22"/>
          <w:szCs w:val="22"/>
        </w:rPr>
        <w:t>701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 xml:space="preserve">, </w:t>
      </w:r>
      <w:r w:rsidR="00E433D9">
        <w:rPr>
          <w:rFonts w:ascii="Bookman Old Style" w:eastAsia="Calibri" w:hAnsi="Bookman Old Style" w:cs="TimesNewRoman,Italic"/>
          <w:i/>
          <w:iCs/>
          <w:sz w:val="22"/>
          <w:szCs w:val="22"/>
        </w:rPr>
        <w:t>II,</w:t>
      </w:r>
      <w:r w:rsidR="00F34B66" w:rsidRPr="00540CA4">
        <w:rPr>
          <w:rFonts w:ascii="Bookman Old Style" w:eastAsia="Calibri" w:hAnsi="Bookman Old Style" w:cs="TimesNewRoman,Italic"/>
          <w:i/>
          <w:iCs/>
          <w:sz w:val="22"/>
          <w:szCs w:val="22"/>
        </w:rPr>
        <w:t xml:space="preserve"> 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>da CNGCE)</w:t>
      </w:r>
      <w:r w:rsidRPr="00540CA4">
        <w:rPr>
          <w:rFonts w:ascii="Bookman Old Style" w:eastAsia="Calibri" w:hAnsi="Bookman Old Style" w:cs="TimesNewRoman"/>
          <w:sz w:val="22"/>
          <w:szCs w:val="22"/>
        </w:rPr>
        <w:t>.</w:t>
      </w:r>
    </w:p>
    <w:p w14:paraId="40FB523F" w14:textId="77777777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,Bold"/>
          <w:b/>
          <w:bCs/>
          <w:sz w:val="22"/>
          <w:szCs w:val="22"/>
        </w:rPr>
      </w:pPr>
    </w:p>
    <w:p w14:paraId="048F1CAC" w14:textId="3E2B3548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II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- Declaração firmada pelo proprietário, com firma reconhecida, de que não houve alteração de divisas do imóvel registrado e que foram respeitados os direitos dos confrontantes, sob pena de responsabilidade civil e</w:t>
      </w:r>
      <w:r w:rsidR="00957FA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criminal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 xml:space="preserve">(Art. </w:t>
      </w:r>
      <w:r w:rsidR="00E433D9">
        <w:rPr>
          <w:rFonts w:ascii="Bookman Old Style" w:eastAsia="Calibri" w:hAnsi="Bookman Old Style" w:cs="TimesNewRoman"/>
          <w:i/>
          <w:sz w:val="22"/>
          <w:szCs w:val="22"/>
        </w:rPr>
        <w:t>1.083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>, § 2º da CNGCE)</w:t>
      </w:r>
      <w:r w:rsidRPr="00540CA4">
        <w:rPr>
          <w:rFonts w:ascii="Bookman Old Style" w:eastAsia="Calibri" w:hAnsi="Bookman Old Style" w:cs="TimesNewRoman"/>
          <w:sz w:val="22"/>
          <w:szCs w:val="22"/>
        </w:rPr>
        <w:t>.</w:t>
      </w:r>
    </w:p>
    <w:p w14:paraId="014BA78A" w14:textId="77777777" w:rsidR="00F34B66" w:rsidRPr="00540CA4" w:rsidRDefault="00F34B66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4E66FD53" w14:textId="3890F749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i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III </w:t>
      </w:r>
      <w:r w:rsidR="008421DD">
        <w:rPr>
          <w:rFonts w:ascii="Bookman Old Style" w:eastAsia="Calibri" w:hAnsi="Bookman Old Style" w:cs="TimesNewRoman"/>
          <w:sz w:val="22"/>
          <w:szCs w:val="22"/>
        </w:rPr>
        <w:t>–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Memorial descritivo do imóvel georreferenciado</w:t>
      </w:r>
      <w:r w:rsidR="0075032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certificado pelo Incra.</w:t>
      </w:r>
      <w:r w:rsidR="00F34B66" w:rsidRPr="00540CA4">
        <w:rPr>
          <w:rFonts w:ascii="Bookman Old Style" w:eastAsia="Calibri" w:hAnsi="Bookman Old Style" w:cs="TimesNewRoman"/>
          <w:sz w:val="22"/>
          <w:szCs w:val="22"/>
        </w:rPr>
        <w:t xml:space="preserve"> (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Art. 1.</w:t>
      </w:r>
      <w:r w:rsidR="00E433D9">
        <w:rPr>
          <w:rFonts w:ascii="Bookman Old Style" w:eastAsia="Calibri" w:hAnsi="Bookman Old Style" w:cs="TimesNewRoman"/>
          <w:i/>
          <w:sz w:val="22"/>
          <w:szCs w:val="22"/>
        </w:rPr>
        <w:t>083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, § 1º da</w:t>
      </w:r>
      <w:r w:rsidR="00750320">
        <w:rPr>
          <w:rFonts w:ascii="Bookman Old Style" w:eastAsia="Calibri" w:hAnsi="Bookman Old Style" w:cs="TimesNewRoman"/>
          <w:i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CNGCE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>).</w:t>
      </w:r>
    </w:p>
    <w:p w14:paraId="601128BA" w14:textId="77777777" w:rsidR="00F34B66" w:rsidRPr="00540CA4" w:rsidRDefault="00F34B66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i/>
          <w:sz w:val="22"/>
          <w:szCs w:val="22"/>
        </w:rPr>
      </w:pPr>
    </w:p>
    <w:p w14:paraId="0D544921" w14:textId="33A497DB" w:rsidR="00F34B66" w:rsidRPr="00540CA4" w:rsidRDefault="00BB099F" w:rsidP="00F34B66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IV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- Certificado de Cadastro do Imóvel Rural –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CCIR.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>(Art. 1.</w:t>
      </w:r>
      <w:r w:rsidR="00E433D9">
        <w:rPr>
          <w:rFonts w:ascii="Bookman Old Style" w:eastAsia="Calibri" w:hAnsi="Bookman Old Style" w:cs="TimesNewRoman"/>
          <w:i/>
          <w:sz w:val="22"/>
          <w:szCs w:val="22"/>
        </w:rPr>
        <w:t>083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>, § 2º da CNGCE e Art. 9º, § 5º do Decreto n. 4.449/2002)</w:t>
      </w:r>
    </w:p>
    <w:p w14:paraId="75863D7E" w14:textId="77777777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39F2080E" w14:textId="4C628161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V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- Prova da quitação do Imposto sobre a Propriedade</w:t>
      </w:r>
      <w:r w:rsidR="00160B26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Territorial Rural – ITR dos últimos 5 (cinco)exercícios, e/ou Certidão Negativa de Débitos – CND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ou positiva com efeitos de negativa de débitos relativa</w:t>
      </w:r>
      <w:r w:rsidR="00160B26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ao ITR.</w:t>
      </w:r>
    </w:p>
    <w:p w14:paraId="152BCF8A" w14:textId="77777777" w:rsidR="00F34B66" w:rsidRPr="00540CA4" w:rsidRDefault="00F34B66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,Bold"/>
          <w:b/>
          <w:bCs/>
          <w:sz w:val="22"/>
          <w:szCs w:val="22"/>
        </w:rPr>
      </w:pPr>
    </w:p>
    <w:p w14:paraId="4CC59B6D" w14:textId="7A0A3163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sz w:val="22"/>
          <w:szCs w:val="22"/>
        </w:rPr>
        <w:lastRenderedPageBreak/>
        <w:t xml:space="preserve">VI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- Planta, memorial descritivo e Anotação de</w:t>
      </w:r>
      <w:r w:rsidR="0075032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Responsabilidade Técnica – ART, com a taxa do</w:t>
      </w:r>
      <w:r w:rsidR="0075032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CREA quitada (todos impressos e em mídia digital)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em 02 (duas) vias.</w:t>
      </w:r>
      <w:r w:rsidR="0075032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>(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Art. 213, II da Lei n.6.015/73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 xml:space="preserve"> e 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Art. 1.</w:t>
      </w:r>
      <w:r w:rsidR="00E433D9">
        <w:rPr>
          <w:rFonts w:ascii="Bookman Old Style" w:eastAsia="Calibri" w:hAnsi="Bookman Old Style" w:cs="TimesNewRoman"/>
          <w:i/>
          <w:sz w:val="22"/>
          <w:szCs w:val="22"/>
        </w:rPr>
        <w:t>083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, § 1º da</w:t>
      </w:r>
      <w:r w:rsidR="00750320">
        <w:rPr>
          <w:rFonts w:ascii="Bookman Old Style" w:eastAsia="Calibri" w:hAnsi="Bookman Old Style" w:cs="TimesNewRoman"/>
          <w:i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CNGCE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>).</w:t>
      </w:r>
    </w:p>
    <w:p w14:paraId="53E88A93" w14:textId="77777777" w:rsidR="00F34B66" w:rsidRPr="00540CA4" w:rsidRDefault="00F34B66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1B190B69" w14:textId="7415AA48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VII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- Certidão de inteiro teor do imóvel</w:t>
      </w:r>
      <w:r w:rsidR="00160B26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georreferenciado, com o prazo de validade de 30(trinta) dias.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>(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Art. 1.</w:t>
      </w:r>
      <w:r w:rsidR="00E433D9">
        <w:rPr>
          <w:rFonts w:ascii="Bookman Old Style" w:eastAsia="Calibri" w:hAnsi="Bookman Old Style" w:cs="TimesNewRoman"/>
          <w:i/>
          <w:sz w:val="22"/>
          <w:szCs w:val="22"/>
        </w:rPr>
        <w:t>083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, § 3º</w:t>
      </w:r>
      <w:r w:rsidR="00E433D9">
        <w:rPr>
          <w:rFonts w:ascii="Bookman Old Style" w:eastAsia="Calibri" w:hAnsi="Bookman Old Style" w:cs="TimesNewRoman"/>
          <w:i/>
          <w:sz w:val="22"/>
          <w:szCs w:val="22"/>
        </w:rPr>
        <w:t xml:space="preserve"> e 1.085, § 5º,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 xml:space="preserve"> da</w:t>
      </w:r>
      <w:r w:rsidR="00E433D9">
        <w:rPr>
          <w:rFonts w:ascii="Bookman Old Style" w:eastAsia="Calibri" w:hAnsi="Bookman Old Style" w:cs="TimesNewRoman"/>
          <w:i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CNGCE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>).</w:t>
      </w:r>
    </w:p>
    <w:p w14:paraId="2AD7851A" w14:textId="77777777" w:rsidR="00F34B66" w:rsidRPr="00540CA4" w:rsidRDefault="00F34B66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2919F4A3" w14:textId="3C30D0CB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i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VIII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- Certidão contendo a cadeia dominial do imóvel</w:t>
      </w:r>
      <w:r w:rsidR="00E433D9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georreferenciado, que deverá ser apresentada uma</w:t>
      </w:r>
      <w:r w:rsidR="00160B26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única vez.</w:t>
      </w:r>
      <w:r w:rsidR="00F34B66" w:rsidRPr="00540CA4">
        <w:rPr>
          <w:rFonts w:ascii="Bookman Old Style" w:eastAsia="Calibri" w:hAnsi="Bookman Old Style" w:cs="TimesNewRoman"/>
          <w:sz w:val="22"/>
          <w:szCs w:val="22"/>
        </w:rPr>
        <w:t xml:space="preserve"> (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Art. 1.</w:t>
      </w:r>
      <w:r w:rsidR="00E433D9">
        <w:rPr>
          <w:rFonts w:ascii="Bookman Old Style" w:eastAsia="Calibri" w:hAnsi="Bookman Old Style" w:cs="TimesNewRoman"/>
          <w:i/>
          <w:sz w:val="22"/>
          <w:szCs w:val="22"/>
        </w:rPr>
        <w:t>083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, § 3º da</w:t>
      </w:r>
      <w:r w:rsidR="00CC0678">
        <w:rPr>
          <w:rFonts w:ascii="Bookman Old Style" w:eastAsia="Calibri" w:hAnsi="Bookman Old Style" w:cs="TimesNewRoman"/>
          <w:i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i/>
          <w:sz w:val="22"/>
          <w:szCs w:val="22"/>
        </w:rPr>
        <w:t>CNGCE</w:t>
      </w:r>
      <w:r w:rsidR="00F34B66" w:rsidRPr="00540CA4">
        <w:rPr>
          <w:rFonts w:ascii="Bookman Old Style" w:eastAsia="Calibri" w:hAnsi="Bookman Old Style" w:cs="TimesNewRoman"/>
          <w:i/>
          <w:sz w:val="22"/>
          <w:szCs w:val="22"/>
        </w:rPr>
        <w:t>).</w:t>
      </w:r>
    </w:p>
    <w:p w14:paraId="63CAE1E9" w14:textId="77777777" w:rsidR="00F34B66" w:rsidRPr="00540CA4" w:rsidRDefault="00F34B66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i/>
          <w:sz w:val="22"/>
          <w:szCs w:val="22"/>
        </w:rPr>
      </w:pPr>
    </w:p>
    <w:p w14:paraId="79499988" w14:textId="77777777" w:rsidR="00F34B66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IX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- Cópias autenticadas do contrato social atualizado</w:t>
      </w:r>
      <w:r w:rsidR="0075032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ou estatuto, nesta hipótese, da ata de posse da atual</w:t>
      </w:r>
      <w:r w:rsidR="0075032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diretoria, ou cópias acompanhadas do original.</w:t>
      </w:r>
    </w:p>
    <w:p w14:paraId="1793FA35" w14:textId="77777777" w:rsidR="00F34B66" w:rsidRPr="00540CA4" w:rsidRDefault="00F34B66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22F28A37" w14:textId="0EA9E616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X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- Em se tratando de representação, cópia do</w:t>
      </w:r>
      <w:r w:rsidR="00E433D9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instrumento de procuração, ou cópia acompanhada do</w:t>
      </w:r>
      <w:r w:rsidR="0075032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original.</w:t>
      </w:r>
    </w:p>
    <w:p w14:paraId="4DAD13FB" w14:textId="77777777" w:rsidR="00F34B66" w:rsidRPr="00540CA4" w:rsidRDefault="00F34B66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03E46046" w14:textId="558D4D64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XI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- Nos casos em que a nova descrição perimetral inserir ou alterar as medidas perimetrais já constantes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na matrícula, deve ser aplicado o rito da retificação de</w:t>
      </w:r>
      <w:r w:rsidR="00D4088B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registro na forma do art. 213 da Lei n. 6.015/73,</w:t>
      </w:r>
      <w:r w:rsidR="00D4088B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exigindo-se declaração expressa dos confrontantes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de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que os limites divisórios foram respeitados, com firma</w:t>
      </w:r>
      <w:r w:rsidR="00D4088B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reconhecida, acompanhadas dos seguintes</w:t>
      </w:r>
      <w:r w:rsidR="00D4088B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documentos:</w:t>
      </w:r>
    </w:p>
    <w:p w14:paraId="6B4E19F8" w14:textId="28DEEB6B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>a)</w:t>
      </w:r>
      <w:r w:rsidR="00BC52C0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se casados, declaração assinada por ambos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os cônjuges;</w:t>
      </w:r>
    </w:p>
    <w:p w14:paraId="2E47364E" w14:textId="0AFA258A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>b)</w:t>
      </w:r>
      <w:r w:rsidR="00BC52C0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se o imóvel confrontar com estrada ou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rodovia:</w:t>
      </w:r>
    </w:p>
    <w:p w14:paraId="7CFB27DF" w14:textId="77777777" w:rsidR="00BB099F" w:rsidRPr="00540CA4" w:rsidRDefault="00BB099F" w:rsidP="007C0BE7">
      <w:pPr>
        <w:autoSpaceDE w:val="0"/>
        <w:autoSpaceDN w:val="0"/>
        <w:adjustRightInd w:val="0"/>
        <w:ind w:left="284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b.1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- municipal – certidão do Município;</w:t>
      </w:r>
    </w:p>
    <w:p w14:paraId="4A359889" w14:textId="77777777" w:rsidR="00BB099F" w:rsidRPr="00540CA4" w:rsidRDefault="00BB099F" w:rsidP="007C0BE7">
      <w:pPr>
        <w:autoSpaceDE w:val="0"/>
        <w:autoSpaceDN w:val="0"/>
        <w:adjustRightInd w:val="0"/>
        <w:ind w:left="284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b.2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- estadual – certidão da SINFRA/MT;</w:t>
      </w:r>
    </w:p>
    <w:p w14:paraId="0529A9CC" w14:textId="77777777" w:rsidR="00BB099F" w:rsidRPr="00540CA4" w:rsidRDefault="00BB099F" w:rsidP="007C0BE7">
      <w:pPr>
        <w:autoSpaceDE w:val="0"/>
        <w:autoSpaceDN w:val="0"/>
        <w:adjustRightInd w:val="0"/>
        <w:ind w:left="284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b.3</w:t>
      </w:r>
      <w:r w:rsidRPr="00540CA4">
        <w:rPr>
          <w:rFonts w:ascii="Bookman Old Style" w:eastAsia="Calibri" w:hAnsi="Bookman Old Style" w:cs="TimesNewRoman"/>
          <w:sz w:val="22"/>
          <w:szCs w:val="22"/>
        </w:rPr>
        <w:t>- federal – certidão do DNIT;</w:t>
      </w:r>
    </w:p>
    <w:p w14:paraId="2A63AB69" w14:textId="397EE56B" w:rsidR="00BB099F" w:rsidRPr="00540CA4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>c)</w:t>
      </w:r>
      <w:r w:rsidR="00BC52C0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se o imóvel confrontar com terra devoluta</w:t>
      </w:r>
      <w:r w:rsidR="008423D2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ou pública:</w:t>
      </w:r>
    </w:p>
    <w:p w14:paraId="4CB3ACBE" w14:textId="77777777" w:rsidR="00BB099F" w:rsidRPr="00540CA4" w:rsidRDefault="00BB099F" w:rsidP="007C0BE7">
      <w:pPr>
        <w:autoSpaceDE w:val="0"/>
        <w:autoSpaceDN w:val="0"/>
        <w:adjustRightInd w:val="0"/>
        <w:ind w:firstLine="284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c.1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- municipal – certidão do Município;</w:t>
      </w:r>
    </w:p>
    <w:p w14:paraId="23F6C772" w14:textId="77777777" w:rsidR="00BB099F" w:rsidRPr="00540CA4" w:rsidRDefault="00BB099F" w:rsidP="007C0BE7">
      <w:pPr>
        <w:autoSpaceDE w:val="0"/>
        <w:autoSpaceDN w:val="0"/>
        <w:adjustRightInd w:val="0"/>
        <w:ind w:firstLine="284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c.2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- estadual – certidão do Intermat;</w:t>
      </w:r>
    </w:p>
    <w:p w14:paraId="4D4E32C3" w14:textId="001BB9D7" w:rsidR="00BB099F" w:rsidRPr="00540CA4" w:rsidRDefault="00BB099F" w:rsidP="007C0BE7">
      <w:pPr>
        <w:autoSpaceDE w:val="0"/>
        <w:autoSpaceDN w:val="0"/>
        <w:adjustRightInd w:val="0"/>
        <w:ind w:firstLine="284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c.3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- parque ou unidade de conservação</w:t>
      </w:r>
      <w:r w:rsidR="00160B26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estadual – certidão da Sema/MT;</w:t>
      </w:r>
    </w:p>
    <w:p w14:paraId="4BFE2E38" w14:textId="77777777" w:rsidR="00BB099F" w:rsidRPr="00540CA4" w:rsidRDefault="00BB099F" w:rsidP="007C0BE7">
      <w:pPr>
        <w:autoSpaceDE w:val="0"/>
        <w:autoSpaceDN w:val="0"/>
        <w:adjustRightInd w:val="0"/>
        <w:ind w:firstLine="284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c.4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- federal – certidão do Incra;</w:t>
      </w:r>
    </w:p>
    <w:p w14:paraId="713FE9D7" w14:textId="77777777" w:rsidR="00BB099F" w:rsidRPr="00540CA4" w:rsidRDefault="00BB099F" w:rsidP="007C0BE7">
      <w:pPr>
        <w:autoSpaceDE w:val="0"/>
        <w:autoSpaceDN w:val="0"/>
        <w:adjustRightInd w:val="0"/>
        <w:ind w:firstLine="284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c.5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- áreas indígenas – certidão da Funai;</w:t>
      </w:r>
    </w:p>
    <w:p w14:paraId="3BFAD298" w14:textId="42B5193D" w:rsidR="00BB099F" w:rsidRPr="00540CA4" w:rsidRDefault="00BB099F" w:rsidP="007C0BE7">
      <w:pPr>
        <w:autoSpaceDE w:val="0"/>
        <w:autoSpaceDN w:val="0"/>
        <w:adjustRightInd w:val="0"/>
        <w:ind w:firstLine="284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c.6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- parque ou unidade de conservação</w:t>
      </w:r>
      <w:r w:rsidR="00160B26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federal – certidão do SPU;</w:t>
      </w:r>
    </w:p>
    <w:p w14:paraId="206DE3DE" w14:textId="16BAA254" w:rsidR="00BB099F" w:rsidRDefault="00BB099F" w:rsidP="007C0BE7">
      <w:pPr>
        <w:autoSpaceDE w:val="0"/>
        <w:autoSpaceDN w:val="0"/>
        <w:adjustRightInd w:val="0"/>
        <w:ind w:firstLine="284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"/>
          <w:b/>
          <w:sz w:val="22"/>
          <w:szCs w:val="22"/>
        </w:rPr>
        <w:t>c.7</w:t>
      </w:r>
      <w:r w:rsidRPr="00540CA4">
        <w:rPr>
          <w:rFonts w:ascii="Bookman Old Style" w:eastAsia="Calibri" w:hAnsi="Bookman Old Style" w:cs="TimesNewRoman"/>
          <w:sz w:val="22"/>
          <w:szCs w:val="22"/>
        </w:rPr>
        <w:t xml:space="preserve"> - rio federal – certidão do SPU;</w:t>
      </w:r>
    </w:p>
    <w:p w14:paraId="10F22079" w14:textId="77777777" w:rsidR="007C223E" w:rsidRPr="00540CA4" w:rsidRDefault="007C223E" w:rsidP="007C0BE7">
      <w:pPr>
        <w:autoSpaceDE w:val="0"/>
        <w:autoSpaceDN w:val="0"/>
        <w:adjustRightInd w:val="0"/>
        <w:ind w:firstLine="284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32CB7C8A" w14:textId="33D47F06" w:rsidR="005407B6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>d)</w:t>
      </w:r>
      <w:r w:rsidR="00BC52C0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declaração de anuência dos confrontantes</w:t>
      </w:r>
      <w:r w:rsidR="00BC52C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localizados do outro lado de curso d’água,</w:t>
      </w:r>
      <w:r w:rsidR="00BC52C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quando houver limites em comum e não</w:t>
      </w:r>
      <w:r w:rsidR="00BC52C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constar o curso d’água na matrícula;</w:t>
      </w:r>
    </w:p>
    <w:p w14:paraId="7A19E470" w14:textId="77777777" w:rsidR="007C223E" w:rsidRDefault="007C223E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</w:p>
    <w:p w14:paraId="43757926" w14:textId="5AE07E8D" w:rsidR="00BB099F" w:rsidRDefault="00BB099F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sz w:val="22"/>
          <w:szCs w:val="22"/>
        </w:rPr>
      </w:pPr>
      <w:r w:rsidRPr="00540CA4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>e)</w:t>
      </w:r>
      <w:r w:rsidR="00BC52C0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tratando-se de anuência de confrontante</w:t>
      </w:r>
      <w:r w:rsidR="00BC52C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,Italic"/>
          <w:i/>
          <w:iCs/>
          <w:sz w:val="22"/>
          <w:szCs w:val="22"/>
        </w:rPr>
        <w:t>simples ocupante</w:t>
      </w:r>
      <w:r w:rsidRPr="00540CA4">
        <w:rPr>
          <w:rFonts w:ascii="Bookman Old Style" w:eastAsia="Calibri" w:hAnsi="Bookman Old Style" w:cs="TimesNewRoman"/>
          <w:sz w:val="22"/>
          <w:szCs w:val="22"/>
        </w:rPr>
        <w:t>, declaração assinada por</w:t>
      </w:r>
      <w:r w:rsidR="0075032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ele e sua mulher, se casado for, com firma</w:t>
      </w:r>
      <w:r w:rsidR="00750320">
        <w:rPr>
          <w:rFonts w:ascii="Bookman Old Style" w:eastAsia="Calibri" w:hAnsi="Bookman Old Style" w:cs="TimesNewRoman"/>
          <w:sz w:val="22"/>
          <w:szCs w:val="22"/>
        </w:rPr>
        <w:t xml:space="preserve"> </w:t>
      </w:r>
      <w:r w:rsidRPr="00540CA4">
        <w:rPr>
          <w:rFonts w:ascii="Bookman Old Style" w:eastAsia="Calibri" w:hAnsi="Bookman Old Style" w:cs="TimesNewRoman"/>
          <w:sz w:val="22"/>
          <w:szCs w:val="22"/>
        </w:rPr>
        <w:t>reconhecida.</w:t>
      </w:r>
      <w:r w:rsidR="00D4010A">
        <w:rPr>
          <w:rFonts w:ascii="Bookman Old Style" w:eastAsia="Calibri" w:hAnsi="Bookman Old Style" w:cs="TimesNewRoman"/>
          <w:sz w:val="22"/>
          <w:szCs w:val="22"/>
        </w:rPr>
        <w:t xml:space="preserve"> (Ata Notarial ou Escritura Pública Declaratória).</w:t>
      </w:r>
    </w:p>
    <w:p w14:paraId="7163CCE6" w14:textId="1CB8800E" w:rsidR="00160B26" w:rsidRPr="00160B26" w:rsidRDefault="00160B26" w:rsidP="00BB099F">
      <w:pPr>
        <w:autoSpaceDE w:val="0"/>
        <w:autoSpaceDN w:val="0"/>
        <w:adjustRightInd w:val="0"/>
        <w:jc w:val="both"/>
        <w:rPr>
          <w:rFonts w:ascii="Bookman Old Style" w:eastAsia="Calibri" w:hAnsi="Bookman Old Style" w:cs="TimesNewRoman"/>
          <w:b/>
          <w:sz w:val="22"/>
          <w:szCs w:val="22"/>
        </w:rPr>
      </w:pPr>
    </w:p>
    <w:p w14:paraId="1CC31C80" w14:textId="77777777" w:rsidR="00141EE0" w:rsidRPr="00160B26" w:rsidRDefault="00141EE0" w:rsidP="00141EE0">
      <w:pPr>
        <w:tabs>
          <w:tab w:val="left" w:pos="567"/>
        </w:tabs>
        <w:jc w:val="both"/>
        <w:rPr>
          <w:rFonts w:ascii="Bookman Old Style" w:hAnsi="Bookman Old Style" w:cs="Courier New"/>
          <w:bCs/>
          <w:color w:val="000000"/>
        </w:rPr>
      </w:pPr>
      <w:r w:rsidRPr="00160B26">
        <w:rPr>
          <w:rFonts w:ascii="Bookman Old Style" w:hAnsi="Bookman Old Style" w:cs="Courier New"/>
          <w:b/>
          <w:color w:val="000000"/>
        </w:rPr>
        <w:t>XII</w:t>
      </w:r>
      <w:r>
        <w:rPr>
          <w:rFonts w:ascii="Bookman Old Style" w:hAnsi="Bookman Old Style" w:cs="Courier New"/>
          <w:bCs/>
          <w:color w:val="000000"/>
        </w:rPr>
        <w:t xml:space="preserve"> - Apresentar</w:t>
      </w:r>
      <w:r w:rsidRPr="00160B26">
        <w:rPr>
          <w:rFonts w:ascii="Bookman Old Style" w:hAnsi="Bookman Old Style" w:cs="Courier New"/>
          <w:bCs/>
          <w:color w:val="000000"/>
        </w:rPr>
        <w:t xml:space="preserve"> plantas contendo a situação atual e a situação pretendida, contendo número da matrícula do imóvel, conforme o art. 673 </w:t>
      </w:r>
      <w:r w:rsidRPr="00160B26">
        <w:rPr>
          <w:rFonts w:ascii="Bookman Old Style" w:hAnsi="Bookman Old Style" w:cs="Arial"/>
        </w:rPr>
        <w:t xml:space="preserve">da </w:t>
      </w:r>
      <w:r w:rsidRPr="00160B26">
        <w:rPr>
          <w:rFonts w:ascii="Bookman Old Style" w:hAnsi="Bookman Old Style"/>
        </w:rPr>
        <w:t>Consolidação das Normas Gerais da Corregedoria Geral da Justiça do Foro Extrajudicial - CNGCE – Provimento 42, de 29/12/2020.</w:t>
      </w:r>
    </w:p>
    <w:p w14:paraId="04292C07" w14:textId="77777777" w:rsidR="00141EE0" w:rsidRPr="004E1303" w:rsidRDefault="00141EE0" w:rsidP="00141EE0">
      <w:pPr>
        <w:pStyle w:val="PargrafodaLista"/>
        <w:tabs>
          <w:tab w:val="left" w:pos="567"/>
        </w:tabs>
        <w:spacing w:after="0" w:line="240" w:lineRule="auto"/>
        <w:jc w:val="both"/>
        <w:rPr>
          <w:rFonts w:ascii="Bookman Old Style" w:hAnsi="Bookman Old Style" w:cs="Courier New"/>
          <w:bCs/>
          <w:color w:val="000000"/>
          <w:sz w:val="20"/>
          <w:szCs w:val="20"/>
        </w:rPr>
      </w:pPr>
    </w:p>
    <w:p w14:paraId="3A8AADA2" w14:textId="77777777" w:rsidR="00141EE0" w:rsidRDefault="00141EE0" w:rsidP="00141EE0">
      <w:pPr>
        <w:pStyle w:val="PargrafodaLista"/>
        <w:tabs>
          <w:tab w:val="left" w:pos="567"/>
        </w:tabs>
        <w:spacing w:after="0" w:line="240" w:lineRule="auto"/>
        <w:ind w:left="2832"/>
        <w:jc w:val="both"/>
        <w:rPr>
          <w:rFonts w:ascii="Bookman Old Style" w:hAnsi="Bookman Old Style" w:cs="Courier New"/>
          <w:bCs/>
          <w:i/>
          <w:iCs/>
          <w:color w:val="000000"/>
          <w:sz w:val="20"/>
          <w:szCs w:val="20"/>
        </w:rPr>
      </w:pPr>
      <w:r w:rsidRPr="004E1303">
        <w:rPr>
          <w:rFonts w:ascii="Bookman Old Style" w:hAnsi="Bookman Old Style" w:cs="Courier New"/>
          <w:b/>
          <w:i/>
          <w:iCs/>
          <w:color w:val="000000"/>
          <w:sz w:val="20"/>
          <w:szCs w:val="20"/>
        </w:rPr>
        <w:t>“Art. 673.</w:t>
      </w:r>
      <w:r w:rsidRPr="004E1303">
        <w:rPr>
          <w:rFonts w:ascii="Bookman Old Style" w:hAnsi="Bookman Old Style" w:cs="Courier New"/>
          <w:bCs/>
          <w:i/>
          <w:iCs/>
          <w:color w:val="000000"/>
          <w:sz w:val="20"/>
          <w:szCs w:val="20"/>
        </w:rPr>
        <w:t xml:space="preserve"> No caso de </w:t>
      </w:r>
      <w:r w:rsidRPr="00160B26">
        <w:rPr>
          <w:rFonts w:ascii="Bookman Old Style" w:hAnsi="Bookman Old Style" w:cs="Courier New"/>
          <w:b/>
          <w:i/>
          <w:iCs/>
          <w:color w:val="000000"/>
          <w:sz w:val="20"/>
          <w:szCs w:val="20"/>
        </w:rPr>
        <w:t>retificação de matrícula e georreferenciamento,</w:t>
      </w:r>
      <w:r w:rsidRPr="004E1303">
        <w:rPr>
          <w:rFonts w:ascii="Bookman Old Style" w:hAnsi="Bookman Old Style" w:cs="Courier New"/>
          <w:bCs/>
          <w:i/>
          <w:iCs/>
          <w:color w:val="000000"/>
          <w:sz w:val="20"/>
          <w:szCs w:val="20"/>
        </w:rPr>
        <w:t xml:space="preserve"> fusão e unificação, </w:t>
      </w:r>
      <w:r w:rsidRPr="00160B26">
        <w:rPr>
          <w:rFonts w:ascii="Bookman Old Style" w:hAnsi="Bookman Old Style" w:cs="Courier New"/>
          <w:bCs/>
          <w:i/>
          <w:iCs/>
          <w:color w:val="000000"/>
          <w:sz w:val="20"/>
          <w:szCs w:val="20"/>
        </w:rPr>
        <w:t>desmembramento, remembramento, parcelamento, loteame</w:t>
      </w:r>
      <w:r w:rsidRPr="004E1303">
        <w:rPr>
          <w:rFonts w:ascii="Bookman Old Style" w:hAnsi="Bookman Old Style" w:cs="Courier New"/>
          <w:bCs/>
          <w:i/>
          <w:iCs/>
          <w:color w:val="000000"/>
          <w:sz w:val="20"/>
          <w:szCs w:val="20"/>
        </w:rPr>
        <w:t xml:space="preserve">nto e apuração de área </w:t>
      </w:r>
      <w:r w:rsidRPr="004E1303">
        <w:rPr>
          <w:rFonts w:ascii="Bookman Old Style" w:hAnsi="Bookman Old Style" w:cs="Courier New"/>
          <w:bCs/>
          <w:i/>
          <w:iCs/>
          <w:color w:val="000000"/>
          <w:sz w:val="20"/>
          <w:szCs w:val="20"/>
        </w:rPr>
        <w:lastRenderedPageBreak/>
        <w:t xml:space="preserve">remanescente, os notários e os registradores imobiliários, havendo necessidade, poderão exigir </w:t>
      </w:r>
      <w:r w:rsidRPr="004E1303">
        <w:rPr>
          <w:rFonts w:ascii="Bookman Old Style" w:hAnsi="Bookman Old Style" w:cs="Courier New"/>
          <w:b/>
          <w:i/>
          <w:iCs/>
          <w:color w:val="000000"/>
          <w:sz w:val="20"/>
          <w:szCs w:val="20"/>
        </w:rPr>
        <w:t>mapa da situação anterior, com indicação da situação pretendida</w:t>
      </w:r>
      <w:r w:rsidRPr="004E1303">
        <w:rPr>
          <w:rFonts w:ascii="Bookman Old Style" w:hAnsi="Bookman Old Style" w:cs="Courier New"/>
          <w:bCs/>
          <w:i/>
          <w:iCs/>
          <w:color w:val="000000"/>
          <w:sz w:val="20"/>
          <w:szCs w:val="20"/>
        </w:rPr>
        <w:t>, bem como os respectivos memoriais descritivos e Anotação de Responsabilidade Técnica - ART, devidamente quitada, para possibilitar o devido controle da disponibilidade qualitativa e quantitativa do imóvel.”</w:t>
      </w:r>
    </w:p>
    <w:p w14:paraId="7533F651" w14:textId="77777777" w:rsidR="00141EE0" w:rsidRDefault="00141EE0" w:rsidP="00141EE0">
      <w:pPr>
        <w:pStyle w:val="PargrafodaLista"/>
        <w:tabs>
          <w:tab w:val="left" w:pos="567"/>
        </w:tabs>
        <w:spacing w:after="0" w:line="240" w:lineRule="auto"/>
        <w:ind w:left="2832"/>
        <w:jc w:val="both"/>
        <w:rPr>
          <w:rFonts w:ascii="Bookman Old Style" w:hAnsi="Bookman Old Style" w:cs="Courier New"/>
          <w:bCs/>
          <w:i/>
          <w:iCs/>
          <w:color w:val="000000"/>
          <w:sz w:val="20"/>
          <w:szCs w:val="20"/>
        </w:rPr>
      </w:pPr>
    </w:p>
    <w:p w14:paraId="657D72CA" w14:textId="77777777" w:rsidR="00141EE0" w:rsidRPr="00E87B3B" w:rsidRDefault="00141EE0" w:rsidP="00141EE0">
      <w:pPr>
        <w:spacing w:after="120"/>
        <w:jc w:val="both"/>
        <w:rPr>
          <w:rFonts w:ascii="Bookman Old Style" w:hAnsi="Bookman Old Style"/>
          <w:sz w:val="22"/>
          <w:szCs w:val="22"/>
        </w:rPr>
      </w:pPr>
      <w:r w:rsidRPr="00EB76AB">
        <w:rPr>
          <w:rFonts w:ascii="Bookman Old Style" w:hAnsi="Bookman Old Style" w:cs="Helvetica"/>
          <w:b/>
          <w:bCs/>
          <w:spacing w:val="2"/>
          <w:sz w:val="22"/>
          <w:szCs w:val="22"/>
          <w:shd w:val="clear" w:color="auto" w:fill="FFFFFF"/>
        </w:rPr>
        <w:t xml:space="preserve">XIII - </w:t>
      </w:r>
      <w:r w:rsidRPr="00E87B3B">
        <w:rPr>
          <w:rFonts w:ascii="Bookman Old Style" w:hAnsi="Bookman Old Style" w:cs="Helvetica"/>
          <w:spacing w:val="2"/>
          <w:sz w:val="22"/>
          <w:szCs w:val="22"/>
          <w:shd w:val="clear" w:color="auto" w:fill="FFFFFF"/>
        </w:rPr>
        <w:t xml:space="preserve">É essencial que o Oficial Registrador ao analisar uma documentação de retificação extrajudicial, se utilize das metodologias de </w:t>
      </w:r>
      <w:r w:rsidRPr="00E87B3B">
        <w:rPr>
          <w:rFonts w:ascii="Bookman Old Style" w:hAnsi="Bookman Old Style" w:cs="Helvetica"/>
          <w:b/>
          <w:bCs/>
          <w:spacing w:val="2"/>
          <w:sz w:val="22"/>
          <w:szCs w:val="22"/>
          <w:shd w:val="clear" w:color="auto" w:fill="FFFFFF"/>
        </w:rPr>
        <w:t xml:space="preserve">análise qualitativa </w:t>
      </w:r>
      <w:r w:rsidRPr="00E87B3B">
        <w:rPr>
          <w:rFonts w:ascii="Bookman Old Style" w:hAnsi="Bookman Old Style" w:cs="Helvetica"/>
          <w:spacing w:val="2"/>
          <w:sz w:val="22"/>
          <w:szCs w:val="22"/>
          <w:shd w:val="clear" w:color="auto" w:fill="FFFFFF"/>
        </w:rPr>
        <w:t xml:space="preserve">(na qual analisamos a descrição atual do imóvel na matrícula e a situação pretendida do requerente, pela comparação dos nomes dos confrontantes, número do lote, matrícula, etc.) e </w:t>
      </w:r>
      <w:r w:rsidRPr="00E87B3B">
        <w:rPr>
          <w:rFonts w:ascii="Bookman Old Style" w:hAnsi="Bookman Old Style" w:cs="Helvetica"/>
          <w:b/>
          <w:bCs/>
          <w:spacing w:val="2"/>
          <w:sz w:val="22"/>
          <w:szCs w:val="22"/>
          <w:shd w:val="clear" w:color="auto" w:fill="FFFFFF"/>
        </w:rPr>
        <w:t xml:space="preserve">análise quantitativa </w:t>
      </w:r>
      <w:r w:rsidRPr="00E87B3B">
        <w:rPr>
          <w:rFonts w:ascii="Bookman Old Style" w:hAnsi="Bookman Old Style" w:cs="Helvetica"/>
          <w:spacing w:val="2"/>
          <w:sz w:val="22"/>
          <w:szCs w:val="22"/>
          <w:shd w:val="clear" w:color="auto" w:fill="FFFFFF"/>
        </w:rPr>
        <w:t xml:space="preserve">(analisamos a </w:t>
      </w:r>
      <w:r w:rsidRPr="00E87B3B">
        <w:rPr>
          <w:rFonts w:ascii="Bookman Old Style" w:hAnsi="Bookman Old Style"/>
          <w:sz w:val="22"/>
          <w:szCs w:val="22"/>
        </w:rPr>
        <w:t>dimensão entre o imóvel a ser retificado e os imóveis confrontantes, assegurando que o imóvel retificando não avance sobre imóveis de outros registros), e ess</w:t>
      </w:r>
      <w:r>
        <w:rPr>
          <w:rFonts w:ascii="Bookman Old Style" w:hAnsi="Bookman Old Style"/>
          <w:sz w:val="22"/>
          <w:szCs w:val="22"/>
        </w:rPr>
        <w:t>a</w:t>
      </w:r>
      <w:r w:rsidRPr="00E87B3B">
        <w:rPr>
          <w:rFonts w:ascii="Bookman Old Style" w:hAnsi="Bookman Old Style"/>
          <w:sz w:val="22"/>
          <w:szCs w:val="22"/>
        </w:rPr>
        <w:t xml:space="preserve"> metodologia só é possível quando fazemos um estudo da cadeia filiatória dos registros dos imóveis confrontantes, é o que dispõe o artigo 698, </w:t>
      </w:r>
      <w:r w:rsidRPr="00E87B3B">
        <w:rPr>
          <w:rFonts w:ascii="Bookman Old Style" w:hAnsi="Bookman Old Style" w:cs="Helvetica"/>
          <w:spacing w:val="2"/>
          <w:sz w:val="22"/>
          <w:szCs w:val="22"/>
          <w:shd w:val="clear" w:color="auto" w:fill="FFFFFF"/>
        </w:rPr>
        <w:t xml:space="preserve">do </w:t>
      </w:r>
      <w:r w:rsidRPr="00E87B3B">
        <w:rPr>
          <w:rFonts w:ascii="Bookman Old Style" w:eastAsia="Calibri" w:hAnsi="Bookman Old Style"/>
          <w:sz w:val="22"/>
          <w:szCs w:val="22"/>
        </w:rPr>
        <w:t xml:space="preserve">Código de Normas Gerais da Corregedoria-Geral da Justiça do Foro Extrajudicial – CNGCE </w:t>
      </w:r>
      <w:r w:rsidRPr="00E87B3B">
        <w:rPr>
          <w:rFonts w:ascii="Bookman Old Style" w:hAnsi="Bookman Old Style"/>
          <w:sz w:val="22"/>
          <w:szCs w:val="22"/>
        </w:rPr>
        <w:t>– Provimento 42, de 29/12/2020 (anteriormente art. 1.196</w:t>
      </w:r>
      <w:r w:rsidRPr="00E87B3B">
        <w:rPr>
          <w:rFonts w:ascii="Bookman Old Style" w:hAnsi="Bookman Old Style" w:cs="Helvetica"/>
          <w:spacing w:val="2"/>
          <w:sz w:val="22"/>
          <w:szCs w:val="22"/>
          <w:shd w:val="clear" w:color="auto" w:fill="FFFFFF"/>
        </w:rPr>
        <w:t xml:space="preserve">, </w:t>
      </w:r>
      <w:r w:rsidRPr="00E87B3B">
        <w:rPr>
          <w:rFonts w:ascii="Bookman Old Style" w:hAnsi="Bookman Old Style" w:cs="Arial"/>
          <w:sz w:val="22"/>
          <w:szCs w:val="22"/>
        </w:rPr>
        <w:t>Consolidação das Normas Gerais da Corregedoria Geral da Justiça – 3º Edição):</w:t>
      </w:r>
    </w:p>
    <w:p w14:paraId="18A9A8D8" w14:textId="77777777" w:rsidR="00141EE0" w:rsidRPr="00E87B3B" w:rsidRDefault="00141EE0" w:rsidP="00141EE0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b/>
          <w:bCs/>
          <w:i/>
          <w:iCs/>
          <w:sz w:val="22"/>
          <w:szCs w:val="22"/>
        </w:rPr>
        <w:t>“</w:t>
      </w:r>
      <w:r w:rsidRPr="00E87B3B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Art. 698. </w:t>
      </w:r>
      <w:r w:rsidRPr="00E87B3B">
        <w:rPr>
          <w:rFonts w:ascii="Bookman Old Style" w:hAnsi="Bookman Old Style"/>
          <w:i/>
          <w:iCs/>
          <w:sz w:val="22"/>
          <w:szCs w:val="22"/>
        </w:rPr>
        <w:t>Com o objetivo de atender aos requisitos apresentados nos artigos precedentes é essencial que seja utilizada a metodologia exposta a seguir:</w:t>
      </w:r>
    </w:p>
    <w:p w14:paraId="3FBF2ACE" w14:textId="77777777" w:rsidR="00141EE0" w:rsidRPr="00E87B3B" w:rsidRDefault="00141EE0" w:rsidP="00141EE0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i/>
          <w:iCs/>
          <w:sz w:val="22"/>
          <w:szCs w:val="22"/>
        </w:rPr>
      </w:pPr>
      <w:r w:rsidRPr="00E87B3B">
        <w:rPr>
          <w:rFonts w:ascii="Bookman Old Style" w:hAnsi="Bookman Old Style"/>
          <w:i/>
          <w:iCs/>
          <w:sz w:val="22"/>
          <w:szCs w:val="22"/>
        </w:rPr>
        <w:t xml:space="preserve">I - </w:t>
      </w:r>
      <w:r w:rsidRPr="00E87B3B">
        <w:rPr>
          <w:rFonts w:ascii="Bookman Old Style" w:hAnsi="Bookman Old Style"/>
          <w:b/>
          <w:bCs/>
          <w:i/>
          <w:iCs/>
          <w:sz w:val="22"/>
          <w:szCs w:val="22"/>
        </w:rPr>
        <w:t>análise qualitativa</w:t>
      </w:r>
      <w:r w:rsidRPr="00E87B3B">
        <w:rPr>
          <w:rFonts w:ascii="Bookman Old Style" w:hAnsi="Bookman Old Style"/>
          <w:i/>
          <w:iCs/>
          <w:sz w:val="22"/>
          <w:szCs w:val="22"/>
        </w:rPr>
        <w:t>, que se refere à correspondência entre o registro e a situação fática, ou seja, entre o imóvel descrito no registro e o imóvel descrito nas peças técnicas, pela comparação com as informações constantes do registro retificando (nomes dos confrontantes, números do prédio e/ou do lote, acidentes geográficos perimetrais, faixas de domínio perimetrais, cadeia dominial do imóvel, transcrição e/ou matrícula do título originário, entre outros);</w:t>
      </w:r>
    </w:p>
    <w:p w14:paraId="23D9ED7D" w14:textId="6952E7EA" w:rsidR="00141EE0" w:rsidRPr="00E87B3B" w:rsidRDefault="00141EE0" w:rsidP="00141EE0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i/>
          <w:iCs/>
          <w:sz w:val="22"/>
          <w:szCs w:val="22"/>
        </w:rPr>
      </w:pPr>
      <w:r w:rsidRPr="00E87B3B">
        <w:rPr>
          <w:rFonts w:ascii="Bookman Old Style" w:hAnsi="Bookman Old Style"/>
          <w:i/>
          <w:iCs/>
          <w:sz w:val="22"/>
          <w:szCs w:val="22"/>
        </w:rPr>
        <w:t xml:space="preserve">II - </w:t>
      </w:r>
      <w:r w:rsidRPr="00E87B3B">
        <w:rPr>
          <w:rFonts w:ascii="Bookman Old Style" w:hAnsi="Bookman Old Style"/>
          <w:b/>
          <w:bCs/>
          <w:i/>
          <w:iCs/>
          <w:sz w:val="22"/>
          <w:szCs w:val="22"/>
        </w:rPr>
        <w:t>análise quantitativa</w:t>
      </w:r>
      <w:r w:rsidRPr="00E87B3B">
        <w:rPr>
          <w:rFonts w:ascii="Bookman Old Style" w:hAnsi="Bookman Old Style"/>
          <w:i/>
          <w:iCs/>
          <w:sz w:val="22"/>
          <w:szCs w:val="22"/>
        </w:rPr>
        <w:t xml:space="preserve">, que se refere à verificação dimensional entre o imóvel retificando, as peças técnicas apresentadas e os imóveis confrontantes, atentando ao fato de que, na verificação dimensional, deve-se assegurar que o imóvel retificando não avance sobre imóveis de outros registros, podendo haver a necessidade de comparar as dimensões </w:t>
      </w:r>
      <w:r w:rsidR="008423D2" w:rsidRPr="00E87B3B">
        <w:rPr>
          <w:rFonts w:ascii="Bookman Old Style" w:hAnsi="Bookman Old Style"/>
          <w:i/>
          <w:iCs/>
          <w:sz w:val="22"/>
          <w:szCs w:val="22"/>
        </w:rPr>
        <w:t>registrarias</w:t>
      </w:r>
      <w:r w:rsidRPr="00E87B3B">
        <w:rPr>
          <w:rFonts w:ascii="Bookman Old Style" w:hAnsi="Bookman Old Style"/>
          <w:i/>
          <w:iCs/>
          <w:sz w:val="22"/>
          <w:szCs w:val="22"/>
        </w:rPr>
        <w:t xml:space="preserve"> com as fáticas, tanto do imóvel retificando, quanto dos imóveis vizinhos e de logradouros públicos.</w:t>
      </w:r>
    </w:p>
    <w:p w14:paraId="7A78A747" w14:textId="3016786D" w:rsidR="00141EE0" w:rsidRDefault="00141EE0" w:rsidP="00141EE0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i/>
          <w:iCs/>
          <w:sz w:val="22"/>
          <w:szCs w:val="22"/>
        </w:rPr>
      </w:pPr>
      <w:r w:rsidRPr="00E87B3B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§ 1º </w:t>
      </w:r>
      <w:r w:rsidRPr="00E87B3B">
        <w:rPr>
          <w:rFonts w:ascii="Bookman Old Style" w:hAnsi="Bookman Old Style"/>
          <w:b/>
          <w:bCs/>
          <w:i/>
          <w:iCs/>
          <w:sz w:val="22"/>
          <w:szCs w:val="22"/>
          <w:u w:val="single"/>
        </w:rPr>
        <w:t>A confirmação dos nomes dos confrontantes tabulares do imóvel retificando pode ser obtida por intermédio do estudo da cadeia filiatória dos registros dos imóveis confrontantes</w:t>
      </w:r>
      <w:r w:rsidRPr="00E87B3B">
        <w:rPr>
          <w:rFonts w:ascii="Bookman Old Style" w:hAnsi="Bookman Old Style"/>
          <w:i/>
          <w:iCs/>
          <w:sz w:val="22"/>
          <w:szCs w:val="22"/>
        </w:rPr>
        <w:t>.</w:t>
      </w:r>
    </w:p>
    <w:p w14:paraId="6916C4D0" w14:textId="77777777" w:rsidR="007C223E" w:rsidRPr="00E87B3B" w:rsidRDefault="007C223E" w:rsidP="00141EE0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i/>
          <w:iCs/>
          <w:sz w:val="22"/>
          <w:szCs w:val="22"/>
        </w:rPr>
      </w:pPr>
    </w:p>
    <w:p w14:paraId="01B64AF4" w14:textId="3CB8C040" w:rsidR="00141EE0" w:rsidRPr="00E87B3B" w:rsidRDefault="00141EE0" w:rsidP="00141EE0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i/>
          <w:iCs/>
          <w:sz w:val="22"/>
          <w:szCs w:val="22"/>
        </w:rPr>
      </w:pPr>
      <w:r w:rsidRPr="00E87B3B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§ 2º </w:t>
      </w:r>
      <w:r w:rsidRPr="00E87B3B">
        <w:rPr>
          <w:rFonts w:ascii="Bookman Old Style" w:hAnsi="Bookman Old Style"/>
          <w:i/>
          <w:iCs/>
          <w:sz w:val="22"/>
          <w:szCs w:val="22"/>
        </w:rPr>
        <w:t>Caso o registro retificando seja omisso ou impreciso quanto às confrontações, a aferição da correspondência poderá ser feita a partir dos dados registr</w:t>
      </w:r>
      <w:r w:rsidR="008423D2">
        <w:rPr>
          <w:rFonts w:ascii="Bookman Old Style" w:hAnsi="Bookman Old Style"/>
          <w:i/>
          <w:iCs/>
          <w:sz w:val="22"/>
          <w:szCs w:val="22"/>
        </w:rPr>
        <w:t>á</w:t>
      </w:r>
      <w:r w:rsidRPr="00E87B3B">
        <w:rPr>
          <w:rFonts w:ascii="Bookman Old Style" w:hAnsi="Bookman Old Style"/>
          <w:i/>
          <w:iCs/>
          <w:sz w:val="22"/>
          <w:szCs w:val="22"/>
        </w:rPr>
        <w:t>rios dos imóveis</w:t>
      </w:r>
    </w:p>
    <w:p w14:paraId="4966255E" w14:textId="298949E3" w:rsidR="00141EE0" w:rsidRDefault="00141EE0" w:rsidP="00141EE0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i/>
          <w:iCs/>
          <w:sz w:val="22"/>
          <w:szCs w:val="22"/>
        </w:rPr>
      </w:pPr>
      <w:r w:rsidRPr="00E87B3B">
        <w:rPr>
          <w:rFonts w:ascii="Bookman Old Style" w:hAnsi="Bookman Old Style"/>
          <w:i/>
          <w:iCs/>
          <w:sz w:val="22"/>
          <w:szCs w:val="22"/>
        </w:rPr>
        <w:t>confrontantes.</w:t>
      </w:r>
    </w:p>
    <w:p w14:paraId="12E459A4" w14:textId="77777777" w:rsidR="007C223E" w:rsidRPr="00E87B3B" w:rsidRDefault="007C223E" w:rsidP="00141EE0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i/>
          <w:iCs/>
          <w:sz w:val="22"/>
          <w:szCs w:val="22"/>
        </w:rPr>
      </w:pPr>
    </w:p>
    <w:p w14:paraId="6EB45FDD" w14:textId="77777777" w:rsidR="00141EE0" w:rsidRPr="00E87B3B" w:rsidRDefault="00141EE0" w:rsidP="00141EE0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i/>
          <w:iCs/>
          <w:sz w:val="22"/>
          <w:szCs w:val="22"/>
        </w:rPr>
      </w:pPr>
      <w:r w:rsidRPr="00E87B3B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§ 3º </w:t>
      </w:r>
      <w:r w:rsidRPr="00E87B3B">
        <w:rPr>
          <w:rFonts w:ascii="Bookman Old Style" w:hAnsi="Bookman Old Style"/>
          <w:i/>
          <w:iCs/>
          <w:sz w:val="22"/>
          <w:szCs w:val="22"/>
        </w:rPr>
        <w:t>Nos casos de os registros retificados indicarem as confrontações por intermédio de lotes, quinhões, acidentes geográficos, entre outros aspectos, a confirmação da correspondência poderá ser feita com a utilização de plantas oficiais de loteamento, arruamento, divisão, expropriação, restituições aerofotogramétricas e de aerofotos.</w:t>
      </w:r>
      <w:r>
        <w:rPr>
          <w:rFonts w:ascii="Bookman Old Style" w:hAnsi="Bookman Old Style"/>
          <w:i/>
          <w:iCs/>
          <w:sz w:val="22"/>
          <w:szCs w:val="22"/>
        </w:rPr>
        <w:t>”</w:t>
      </w:r>
    </w:p>
    <w:p w14:paraId="0CB5776E" w14:textId="0BFA995D" w:rsidR="00BB099F" w:rsidRDefault="00BB099F" w:rsidP="001D6BFF">
      <w:pPr>
        <w:pStyle w:val="SemEspaamento"/>
        <w:jc w:val="center"/>
        <w:rPr>
          <w:rFonts w:ascii="Bookman Old Style" w:hAnsi="Bookman Old Style"/>
          <w:b/>
        </w:rPr>
      </w:pPr>
    </w:p>
    <w:p w14:paraId="0F7D27F9" w14:textId="4E5DA608" w:rsidR="00300746" w:rsidRPr="007C223E" w:rsidRDefault="00300746" w:rsidP="007C223E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B5298B">
        <w:rPr>
          <w:rFonts w:ascii="Bookman Old Style" w:eastAsia="Calibri" w:hAnsi="Bookman Old Style"/>
          <w:b/>
          <w:bCs/>
        </w:rPr>
        <w:t xml:space="preserve">Art. 707, </w:t>
      </w:r>
      <w:r w:rsidRPr="00B5298B">
        <w:rPr>
          <w:rFonts w:ascii="Bookman Old Style" w:eastAsia="Calibri" w:hAnsi="Bookman Old Style" w:cs="TimesNewRoman"/>
          <w:b/>
          <w:bCs/>
        </w:rPr>
        <w:t>da CNGCE</w:t>
      </w:r>
      <w:r w:rsidRPr="00B5298B">
        <w:rPr>
          <w:rFonts w:ascii="Bookman Old Style" w:eastAsia="Calibri" w:hAnsi="Bookman Old Style"/>
          <w:b/>
          <w:bCs/>
        </w:rPr>
        <w:t>. O interessado poderá apresentar, bem como o oficial de registro de imóveis poderá requerer-lhe, de forma fundamentada, a apresentação de quaisquer outras provas que entender necessárias para a qualificação, desde que admitidas em direito, colhidas ou obtidas por fontes lícitas: documental, oral e técnica de todas as naturezas (laudos técnicos, fotografias, mapas antigos, entre outros)</w:t>
      </w:r>
      <w:r w:rsidRPr="00B5298B">
        <w:rPr>
          <w:rFonts w:ascii="Bookman Old Style" w:hAnsi="Bookman Old Style"/>
          <w:b/>
          <w:bCs/>
        </w:rPr>
        <w:t>.</w:t>
      </w:r>
    </w:p>
    <w:p w14:paraId="131B3EA2" w14:textId="77777777" w:rsidR="00300746" w:rsidRPr="00540CA4" w:rsidRDefault="00300746" w:rsidP="001D6BFF">
      <w:pPr>
        <w:pStyle w:val="SemEspaamento"/>
        <w:jc w:val="center"/>
        <w:rPr>
          <w:rFonts w:ascii="Bookman Old Style" w:hAnsi="Bookman Old Style"/>
          <w:b/>
        </w:rPr>
      </w:pPr>
    </w:p>
    <w:p w14:paraId="28B37B86" w14:textId="00A121CB" w:rsidR="00EB2FA7" w:rsidRPr="00540CA4" w:rsidRDefault="00EB2FA7" w:rsidP="00EB2FA7">
      <w:pPr>
        <w:autoSpaceDE w:val="0"/>
        <w:autoSpaceDN w:val="0"/>
        <w:adjustRightInd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540CA4">
        <w:rPr>
          <w:rFonts w:ascii="Bookman Old Style" w:eastAsia="Calibri" w:hAnsi="Bookman Old Style" w:cs="TimesNewRoman,Bold"/>
          <w:b/>
          <w:bCs/>
          <w:i/>
          <w:sz w:val="22"/>
          <w:szCs w:val="22"/>
        </w:rPr>
        <w:t>Art. 1.</w:t>
      </w:r>
      <w:r w:rsidR="00E433D9">
        <w:rPr>
          <w:rFonts w:ascii="Bookman Old Style" w:eastAsia="Calibri" w:hAnsi="Bookman Old Style" w:cs="TimesNewRoman,Bold"/>
          <w:b/>
          <w:bCs/>
          <w:i/>
          <w:sz w:val="22"/>
          <w:szCs w:val="22"/>
        </w:rPr>
        <w:t>085</w:t>
      </w:r>
      <w:r w:rsidR="00BC52C0">
        <w:rPr>
          <w:rFonts w:ascii="Bookman Old Style" w:eastAsia="Calibri" w:hAnsi="Bookman Old Style" w:cs="TimesNewRoman,Bold"/>
          <w:b/>
          <w:bCs/>
          <w:i/>
          <w:sz w:val="22"/>
          <w:szCs w:val="22"/>
        </w:rPr>
        <w:t>,</w:t>
      </w:r>
      <w:r w:rsidRPr="00540CA4">
        <w:rPr>
          <w:rFonts w:ascii="Bookman Old Style" w:eastAsia="Calibri" w:hAnsi="Bookman Old Style" w:cs="TimesNewRoman,Bold"/>
          <w:b/>
          <w:bCs/>
          <w:i/>
          <w:sz w:val="22"/>
          <w:szCs w:val="22"/>
        </w:rPr>
        <w:t xml:space="preserve"> § 9º </w:t>
      </w:r>
      <w:r w:rsidRPr="00540CA4">
        <w:rPr>
          <w:rFonts w:ascii="Bookman Old Style" w:eastAsia="Calibri" w:hAnsi="Bookman Old Style" w:cs="TimesNewRoman"/>
          <w:b/>
          <w:i/>
          <w:sz w:val="22"/>
          <w:szCs w:val="22"/>
        </w:rPr>
        <w:t xml:space="preserve">É vedada a exigência de outros documentos que não constem no rol taxativo do </w:t>
      </w:r>
      <w:r w:rsidRPr="00540CA4">
        <w:rPr>
          <w:rFonts w:ascii="Bookman Old Style" w:eastAsia="Calibri" w:hAnsi="Bookman Old Style" w:cs="TimesNewRoman,Italic"/>
          <w:b/>
          <w:i/>
          <w:iCs/>
          <w:sz w:val="22"/>
          <w:szCs w:val="22"/>
        </w:rPr>
        <w:t xml:space="preserve">caput </w:t>
      </w:r>
      <w:r w:rsidRPr="00540CA4">
        <w:rPr>
          <w:rFonts w:ascii="Bookman Old Style" w:eastAsia="Calibri" w:hAnsi="Bookman Old Style" w:cs="TimesNewRoman"/>
          <w:b/>
          <w:i/>
          <w:sz w:val="22"/>
          <w:szCs w:val="22"/>
        </w:rPr>
        <w:t>deste artigo para a prática dos atos de averbação de georreferenciamento, sendo que qualquer recusa por parte do registrador deve ser feita por meio de nota de devolução de acordo com o art. 198 da Lei n. 6.015/73.” (NR)</w:t>
      </w:r>
    </w:p>
    <w:sectPr w:rsidR="00EB2FA7" w:rsidRPr="00540CA4" w:rsidSect="000E7945">
      <w:headerReference w:type="default" r:id="rId8"/>
      <w:footerReference w:type="default" r:id="rId9"/>
      <w:pgSz w:w="11906" w:h="16838"/>
      <w:pgMar w:top="899" w:right="1416" w:bottom="993" w:left="15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555D" w14:textId="77777777" w:rsidR="00957FA2" w:rsidRDefault="00957FA2" w:rsidP="00D53FF8">
      <w:r>
        <w:separator/>
      </w:r>
    </w:p>
  </w:endnote>
  <w:endnote w:type="continuationSeparator" w:id="0">
    <w:p w14:paraId="107C3ACE" w14:textId="77777777" w:rsidR="00957FA2" w:rsidRDefault="00957FA2" w:rsidP="00D5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AA48" w14:textId="77777777" w:rsidR="00957FA2" w:rsidRPr="00B01DB8" w:rsidRDefault="00957FA2" w:rsidP="00D53FF8">
    <w:pPr>
      <w:pBdr>
        <w:bottom w:val="single" w:sz="6" w:space="1" w:color="auto"/>
      </w:pBdr>
      <w:jc w:val="center"/>
      <w:rPr>
        <w:rFonts w:ascii="Bookman Old Style" w:hAnsi="Bookman Old Style" w:cs="Tahoma"/>
        <w:sz w:val="4"/>
        <w:szCs w:val="4"/>
      </w:rPr>
    </w:pPr>
  </w:p>
  <w:p w14:paraId="029C6D76" w14:textId="77777777" w:rsidR="007C223E" w:rsidRPr="004D3C90" w:rsidRDefault="007C223E" w:rsidP="007C223E">
    <w:pPr>
      <w:pStyle w:val="Rodap"/>
      <w:jc w:val="center"/>
      <w:rPr>
        <w:rFonts w:ascii="Bookman Old Style" w:hAnsi="Bookman Old Style" w:cs="Tahoma"/>
        <w:sz w:val="18"/>
        <w:szCs w:val="18"/>
        <w:lang w:eastAsia="pt-BR"/>
      </w:rPr>
    </w:pPr>
    <w:r w:rsidRPr="004D3C90">
      <w:rPr>
        <w:rFonts w:ascii="Bookman Old Style" w:hAnsi="Bookman Old Style" w:cs="Tahoma"/>
        <w:sz w:val="18"/>
        <w:szCs w:val="18"/>
        <w:lang w:eastAsia="pt-BR"/>
      </w:rPr>
      <w:t>Rua D. Esmeralda, 774 – Bairro Cidade Alta – CEP 78.325-000 – Aripuanã-MT</w:t>
    </w:r>
  </w:p>
  <w:p w14:paraId="461FE683" w14:textId="77777777" w:rsidR="007C223E" w:rsidRDefault="007C223E" w:rsidP="007C223E">
    <w:pPr>
      <w:pStyle w:val="Rodap"/>
      <w:jc w:val="center"/>
    </w:pPr>
    <w:r w:rsidRPr="004D3C90">
      <w:rPr>
        <w:rFonts w:ascii="Bookman Old Style" w:hAnsi="Bookman Old Style" w:cs="Tahoma"/>
        <w:sz w:val="18"/>
        <w:szCs w:val="18"/>
        <w:lang w:eastAsia="pt-BR"/>
      </w:rPr>
      <w:t>Telefone (66) 3565-2945 - WhatsApp (66) 98143-2262 - e-mail: 1of.aripuana@gmail.com</w:t>
    </w:r>
  </w:p>
  <w:p w14:paraId="4107346B" w14:textId="77777777" w:rsidR="00957FA2" w:rsidRDefault="00957FA2">
    <w:pPr>
      <w:pStyle w:val="Rodap"/>
    </w:pPr>
  </w:p>
  <w:p w14:paraId="4C72C656" w14:textId="77777777" w:rsidR="00957FA2" w:rsidRDefault="00957F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7EE0" w14:textId="77777777" w:rsidR="00957FA2" w:rsidRDefault="00957FA2" w:rsidP="00D53FF8">
      <w:r>
        <w:separator/>
      </w:r>
    </w:p>
  </w:footnote>
  <w:footnote w:type="continuationSeparator" w:id="0">
    <w:p w14:paraId="371D3E05" w14:textId="77777777" w:rsidR="00957FA2" w:rsidRDefault="00957FA2" w:rsidP="00D5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45" w:type="dxa"/>
      <w:tblInd w:w="-34" w:type="dxa"/>
      <w:tblLook w:val="04A0" w:firstRow="1" w:lastRow="0" w:firstColumn="1" w:lastColumn="0" w:noHBand="0" w:noVBand="1"/>
    </w:tblPr>
    <w:tblGrid>
      <w:gridCol w:w="5440"/>
      <w:gridCol w:w="4005"/>
    </w:tblGrid>
    <w:tr w:rsidR="00957FA2" w:rsidRPr="0074510D" w14:paraId="5B1915C3" w14:textId="77777777" w:rsidTr="001C29DA">
      <w:trPr>
        <w:trHeight w:val="1480"/>
      </w:trPr>
      <w:tc>
        <w:tcPr>
          <w:tcW w:w="5068" w:type="dxa"/>
        </w:tcPr>
        <w:p w14:paraId="62168A29" w14:textId="77777777" w:rsidR="00957FA2" w:rsidRPr="00F20937" w:rsidRDefault="00957FA2" w:rsidP="001C29DA">
          <w:pPr>
            <w:ind w:left="34"/>
            <w:jc w:val="center"/>
          </w:pPr>
          <w:r>
            <w:rPr>
              <w:noProof/>
            </w:rPr>
            <w:drawing>
              <wp:inline distT="0" distB="0" distL="0" distR="0" wp14:anchorId="3F2DBC24" wp14:editId="58978E70">
                <wp:extent cx="3267075" cy="1285875"/>
                <wp:effectExtent l="19050" t="0" r="9525" b="0"/>
                <wp:docPr id="1" name="Imagem 5" descr="C:\Documents and Settings\Pc\Configurações locais\Temporary Internet Files\Content.Word\LOGOMAR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C:\Documents and Settings\Pc\Configurações locais\Temporary Internet Files\Content.Word\LOGOMAR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07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7" w:type="dxa"/>
        </w:tcPr>
        <w:p w14:paraId="15BF36EA" w14:textId="77777777" w:rsidR="00957FA2" w:rsidRDefault="00957FA2" w:rsidP="00806133">
          <w:pPr>
            <w:jc w:val="center"/>
            <w:rPr>
              <w:rFonts w:ascii="Bookman Old Style" w:hAnsi="Bookman Old Style"/>
              <w:b/>
            </w:rPr>
          </w:pPr>
        </w:p>
        <w:p w14:paraId="63AA77B0" w14:textId="77777777" w:rsidR="00957FA2" w:rsidRPr="00DA37C0" w:rsidRDefault="00957FA2" w:rsidP="00BB785C">
          <w:pPr>
            <w:jc w:val="center"/>
            <w:rPr>
              <w:rFonts w:ascii="Bookman Old Style" w:hAnsi="Bookman Old Style"/>
              <w:b/>
            </w:rPr>
          </w:pPr>
        </w:p>
        <w:p w14:paraId="00B3474A" w14:textId="77777777" w:rsidR="008C6FB4" w:rsidRDefault="008C6FB4" w:rsidP="008C6FB4">
          <w:pPr>
            <w:rPr>
              <w:rFonts w:ascii="Bookman Old Style" w:hAnsi="Bookman Old Style"/>
              <w:b/>
            </w:rPr>
          </w:pPr>
        </w:p>
        <w:p w14:paraId="21A50DAE" w14:textId="77777777" w:rsidR="005B07F1" w:rsidRDefault="005B07F1" w:rsidP="005B07F1">
          <w:pPr>
            <w:jc w:val="center"/>
            <w:rPr>
              <w:rFonts w:ascii="Bookman Old Style" w:hAnsi="Bookman Old Style"/>
              <w:sz w:val="18"/>
              <w:szCs w:val="18"/>
            </w:rPr>
          </w:pPr>
          <w:r>
            <w:rPr>
              <w:rFonts w:ascii="Bookman Old Style" w:hAnsi="Bookman Old Style"/>
              <w:b/>
              <w:sz w:val="18"/>
              <w:szCs w:val="18"/>
            </w:rPr>
            <w:t>Ane Carolina Novaes</w:t>
          </w:r>
          <w:r>
            <w:rPr>
              <w:rFonts w:ascii="Bookman Old Style" w:hAnsi="Bookman Old Style"/>
              <w:sz w:val="18"/>
              <w:szCs w:val="18"/>
            </w:rPr>
            <w:t xml:space="preserve"> </w:t>
          </w:r>
        </w:p>
        <w:p w14:paraId="540A932B" w14:textId="77777777" w:rsidR="005B07F1" w:rsidRDefault="005B07F1" w:rsidP="005B07F1">
          <w:pPr>
            <w:jc w:val="center"/>
            <w:rPr>
              <w:rFonts w:ascii="Bookman Old Style" w:hAnsi="Bookman Old Style"/>
              <w:sz w:val="18"/>
              <w:szCs w:val="18"/>
            </w:rPr>
          </w:pPr>
          <w:r>
            <w:rPr>
              <w:rFonts w:ascii="Bookman Old Style" w:hAnsi="Bookman Old Style"/>
              <w:sz w:val="18"/>
              <w:szCs w:val="18"/>
            </w:rPr>
            <w:t>Oficiala Registradora</w:t>
          </w:r>
        </w:p>
        <w:p w14:paraId="462B49A2" w14:textId="77777777" w:rsidR="005B07F1" w:rsidRDefault="005B07F1" w:rsidP="005B07F1">
          <w:pPr>
            <w:jc w:val="center"/>
            <w:rPr>
              <w:rFonts w:ascii="Bookman Old Style" w:hAnsi="Bookman Old Style" w:cs="Bookman Old Style"/>
              <w:b/>
              <w:sz w:val="18"/>
              <w:szCs w:val="18"/>
            </w:rPr>
          </w:pPr>
          <w:r>
            <w:rPr>
              <w:rFonts w:ascii="Bookman Old Style" w:hAnsi="Bookman Old Style" w:cs="Bookman Old Style"/>
              <w:b/>
              <w:sz w:val="18"/>
              <w:szCs w:val="18"/>
            </w:rPr>
            <w:t>Kely Cristiane Farias</w:t>
          </w:r>
        </w:p>
        <w:p w14:paraId="2AE66FA9" w14:textId="26CD97C3" w:rsidR="007C223E" w:rsidRDefault="007C223E" w:rsidP="007C223E">
          <w:pPr>
            <w:jc w:val="center"/>
            <w:rPr>
              <w:rFonts w:ascii="Bookman Old Style" w:hAnsi="Bookman Old Style"/>
              <w:sz w:val="18"/>
              <w:szCs w:val="18"/>
            </w:rPr>
          </w:pPr>
          <w:r>
            <w:rPr>
              <w:rFonts w:ascii="Bookman Old Style" w:hAnsi="Bookman Old Style"/>
              <w:sz w:val="18"/>
              <w:szCs w:val="18"/>
            </w:rPr>
            <w:t xml:space="preserve">1ª </w:t>
          </w:r>
          <w:r w:rsidR="005B07F1">
            <w:rPr>
              <w:rFonts w:ascii="Bookman Old Style" w:hAnsi="Bookman Old Style"/>
              <w:sz w:val="18"/>
              <w:szCs w:val="18"/>
            </w:rPr>
            <w:t>Oficiala Registradora Substituta</w:t>
          </w:r>
        </w:p>
        <w:p w14:paraId="6556633C" w14:textId="487D0DCE" w:rsidR="007C223E" w:rsidRDefault="007C223E" w:rsidP="007C223E">
          <w:pPr>
            <w:jc w:val="center"/>
            <w:rPr>
              <w:rFonts w:ascii="Bookman Old Style" w:hAnsi="Bookman Old Style" w:cs="Bookman Old Style"/>
              <w:b/>
              <w:sz w:val="18"/>
              <w:szCs w:val="18"/>
            </w:rPr>
          </w:pPr>
          <w:r>
            <w:rPr>
              <w:rFonts w:ascii="Bookman Old Style" w:hAnsi="Bookman Old Style" w:cs="Bookman Old Style"/>
              <w:b/>
              <w:sz w:val="18"/>
              <w:szCs w:val="18"/>
            </w:rPr>
            <w:t>Adriana Espantan Gomes</w:t>
          </w:r>
        </w:p>
        <w:p w14:paraId="0F195D33" w14:textId="3ECD8C82" w:rsidR="007C223E" w:rsidRPr="008C6FB4" w:rsidRDefault="007C223E" w:rsidP="007C223E">
          <w:pPr>
            <w:jc w:val="center"/>
            <w:rPr>
              <w:rFonts w:ascii="Bookman Old Style" w:hAnsi="Bookman Old Style"/>
              <w:sz w:val="18"/>
              <w:szCs w:val="18"/>
            </w:rPr>
          </w:pPr>
          <w:r>
            <w:rPr>
              <w:rFonts w:ascii="Bookman Old Style" w:hAnsi="Bookman Old Style"/>
              <w:sz w:val="18"/>
              <w:szCs w:val="18"/>
            </w:rPr>
            <w:t xml:space="preserve">2ª </w:t>
          </w:r>
          <w:r>
            <w:rPr>
              <w:rFonts w:ascii="Bookman Old Style" w:hAnsi="Bookman Old Style"/>
              <w:sz w:val="18"/>
              <w:szCs w:val="18"/>
            </w:rPr>
            <w:t>Oficiala Registradora Substituta</w:t>
          </w:r>
        </w:p>
      </w:tc>
    </w:tr>
  </w:tbl>
  <w:p w14:paraId="6C64C86E" w14:textId="77777777" w:rsidR="00957FA2" w:rsidRPr="00B01DB8" w:rsidRDefault="00957FA2" w:rsidP="000C4552">
    <w:pPr>
      <w:pStyle w:val="Cabealho"/>
      <w:pBdr>
        <w:bottom w:val="single" w:sz="12" w:space="0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55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9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571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1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787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315" w:hanging="360"/>
      </w:pPr>
      <w:rPr>
        <w:rFonts w:ascii="Wingdings" w:hAnsi="Wingdings" w:cs="Wingdings"/>
      </w:rPr>
    </w:lvl>
  </w:abstractNum>
  <w:abstractNum w:abstractNumId="1" w15:restartNumberingAfterBreak="0">
    <w:nsid w:val="2BF64016"/>
    <w:multiLevelType w:val="hybridMultilevel"/>
    <w:tmpl w:val="656AF072"/>
    <w:lvl w:ilvl="0" w:tplc="D0280A86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35DC"/>
    <w:multiLevelType w:val="hybridMultilevel"/>
    <w:tmpl w:val="6AD02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8587">
    <w:abstractNumId w:val="0"/>
  </w:num>
  <w:num w:numId="2" w16cid:durableId="400256483">
    <w:abstractNumId w:val="2"/>
  </w:num>
  <w:num w:numId="3" w16cid:durableId="137311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FA"/>
    <w:rsid w:val="00000512"/>
    <w:rsid w:val="00001A60"/>
    <w:rsid w:val="000029A9"/>
    <w:rsid w:val="00004231"/>
    <w:rsid w:val="000246B9"/>
    <w:rsid w:val="00031C7B"/>
    <w:rsid w:val="00034A3C"/>
    <w:rsid w:val="00035BFB"/>
    <w:rsid w:val="00040E65"/>
    <w:rsid w:val="00044DEA"/>
    <w:rsid w:val="00045926"/>
    <w:rsid w:val="00050DF7"/>
    <w:rsid w:val="0005689B"/>
    <w:rsid w:val="000730AA"/>
    <w:rsid w:val="00074B1B"/>
    <w:rsid w:val="0008557D"/>
    <w:rsid w:val="00092EBD"/>
    <w:rsid w:val="00093F42"/>
    <w:rsid w:val="0009410B"/>
    <w:rsid w:val="000971FA"/>
    <w:rsid w:val="000A0585"/>
    <w:rsid w:val="000A0E9D"/>
    <w:rsid w:val="000A436B"/>
    <w:rsid w:val="000A4E3D"/>
    <w:rsid w:val="000A4E7A"/>
    <w:rsid w:val="000A633F"/>
    <w:rsid w:val="000B248A"/>
    <w:rsid w:val="000C2A44"/>
    <w:rsid w:val="000C43E5"/>
    <w:rsid w:val="000C4552"/>
    <w:rsid w:val="000C4D60"/>
    <w:rsid w:val="000D239F"/>
    <w:rsid w:val="000D2E23"/>
    <w:rsid w:val="000E2D22"/>
    <w:rsid w:val="000E5396"/>
    <w:rsid w:val="000E7945"/>
    <w:rsid w:val="000F66A3"/>
    <w:rsid w:val="00114FF3"/>
    <w:rsid w:val="00115565"/>
    <w:rsid w:val="00115968"/>
    <w:rsid w:val="0012235C"/>
    <w:rsid w:val="001273AC"/>
    <w:rsid w:val="00127DFD"/>
    <w:rsid w:val="00140C23"/>
    <w:rsid w:val="0014111E"/>
    <w:rsid w:val="00141EE0"/>
    <w:rsid w:val="00144ED9"/>
    <w:rsid w:val="00146258"/>
    <w:rsid w:val="00156222"/>
    <w:rsid w:val="00160B26"/>
    <w:rsid w:val="001767D9"/>
    <w:rsid w:val="00177213"/>
    <w:rsid w:val="00192263"/>
    <w:rsid w:val="00192967"/>
    <w:rsid w:val="001A2C01"/>
    <w:rsid w:val="001A367C"/>
    <w:rsid w:val="001A6A12"/>
    <w:rsid w:val="001B44EB"/>
    <w:rsid w:val="001B4DC7"/>
    <w:rsid w:val="001C0312"/>
    <w:rsid w:val="001C28A0"/>
    <w:rsid w:val="001C29DA"/>
    <w:rsid w:val="001C65C9"/>
    <w:rsid w:val="001D4374"/>
    <w:rsid w:val="001D679E"/>
    <w:rsid w:val="001D6BFF"/>
    <w:rsid w:val="001D7D90"/>
    <w:rsid w:val="001E1160"/>
    <w:rsid w:val="001E47EE"/>
    <w:rsid w:val="001E6E06"/>
    <w:rsid w:val="001F0240"/>
    <w:rsid w:val="001F0DE0"/>
    <w:rsid w:val="001F7B1B"/>
    <w:rsid w:val="00201469"/>
    <w:rsid w:val="00201C0A"/>
    <w:rsid w:val="00201F92"/>
    <w:rsid w:val="00204A4B"/>
    <w:rsid w:val="002106F8"/>
    <w:rsid w:val="00211C54"/>
    <w:rsid w:val="00221791"/>
    <w:rsid w:val="00221C5E"/>
    <w:rsid w:val="00225E29"/>
    <w:rsid w:val="00226AE4"/>
    <w:rsid w:val="0023050A"/>
    <w:rsid w:val="00236473"/>
    <w:rsid w:val="0024193D"/>
    <w:rsid w:val="00244A7B"/>
    <w:rsid w:val="002455BF"/>
    <w:rsid w:val="0026094C"/>
    <w:rsid w:val="002618A8"/>
    <w:rsid w:val="00265F6A"/>
    <w:rsid w:val="00273FE9"/>
    <w:rsid w:val="0027655B"/>
    <w:rsid w:val="00291335"/>
    <w:rsid w:val="002A289A"/>
    <w:rsid w:val="002B070E"/>
    <w:rsid w:val="002B2626"/>
    <w:rsid w:val="002B3230"/>
    <w:rsid w:val="002C413E"/>
    <w:rsid w:val="002C657E"/>
    <w:rsid w:val="002D26E4"/>
    <w:rsid w:val="002D5B9E"/>
    <w:rsid w:val="002E34B5"/>
    <w:rsid w:val="002E5662"/>
    <w:rsid w:val="002E66E7"/>
    <w:rsid w:val="002F1C06"/>
    <w:rsid w:val="002F28F8"/>
    <w:rsid w:val="002F3806"/>
    <w:rsid w:val="002F42CA"/>
    <w:rsid w:val="002F4A12"/>
    <w:rsid w:val="002F7216"/>
    <w:rsid w:val="00300746"/>
    <w:rsid w:val="0030450E"/>
    <w:rsid w:val="00305B2B"/>
    <w:rsid w:val="003211C8"/>
    <w:rsid w:val="00321A5D"/>
    <w:rsid w:val="0032395A"/>
    <w:rsid w:val="00325F64"/>
    <w:rsid w:val="003351CA"/>
    <w:rsid w:val="00342739"/>
    <w:rsid w:val="00342F36"/>
    <w:rsid w:val="00343419"/>
    <w:rsid w:val="00345480"/>
    <w:rsid w:val="003454EC"/>
    <w:rsid w:val="00352A56"/>
    <w:rsid w:val="003605E8"/>
    <w:rsid w:val="00363F3B"/>
    <w:rsid w:val="003653D5"/>
    <w:rsid w:val="003754E8"/>
    <w:rsid w:val="003767B8"/>
    <w:rsid w:val="00386D72"/>
    <w:rsid w:val="0039019B"/>
    <w:rsid w:val="00395491"/>
    <w:rsid w:val="00395E1C"/>
    <w:rsid w:val="00397058"/>
    <w:rsid w:val="003A585C"/>
    <w:rsid w:val="003A6AA4"/>
    <w:rsid w:val="003B0748"/>
    <w:rsid w:val="003B2C77"/>
    <w:rsid w:val="003C0ADE"/>
    <w:rsid w:val="003C3DC1"/>
    <w:rsid w:val="003C648A"/>
    <w:rsid w:val="003E126B"/>
    <w:rsid w:val="003E18E9"/>
    <w:rsid w:val="003E3227"/>
    <w:rsid w:val="003E48FB"/>
    <w:rsid w:val="003E5B42"/>
    <w:rsid w:val="003E6540"/>
    <w:rsid w:val="003E6D9B"/>
    <w:rsid w:val="003F1263"/>
    <w:rsid w:val="003F360C"/>
    <w:rsid w:val="003F6E28"/>
    <w:rsid w:val="003F7620"/>
    <w:rsid w:val="003F7C77"/>
    <w:rsid w:val="004031C3"/>
    <w:rsid w:val="00407EEF"/>
    <w:rsid w:val="00410D40"/>
    <w:rsid w:val="004173C6"/>
    <w:rsid w:val="00422A1D"/>
    <w:rsid w:val="00422CBF"/>
    <w:rsid w:val="004307A5"/>
    <w:rsid w:val="004313A9"/>
    <w:rsid w:val="00436F07"/>
    <w:rsid w:val="004407EA"/>
    <w:rsid w:val="00442C5E"/>
    <w:rsid w:val="0044400C"/>
    <w:rsid w:val="0044682D"/>
    <w:rsid w:val="00447695"/>
    <w:rsid w:val="00450056"/>
    <w:rsid w:val="00453E8F"/>
    <w:rsid w:val="0046470C"/>
    <w:rsid w:val="00470474"/>
    <w:rsid w:val="00472AA7"/>
    <w:rsid w:val="00472D22"/>
    <w:rsid w:val="004742E7"/>
    <w:rsid w:val="00475552"/>
    <w:rsid w:val="00480C8D"/>
    <w:rsid w:val="004818C0"/>
    <w:rsid w:val="00485267"/>
    <w:rsid w:val="004876FE"/>
    <w:rsid w:val="0049106C"/>
    <w:rsid w:val="004912E8"/>
    <w:rsid w:val="004921F7"/>
    <w:rsid w:val="00494012"/>
    <w:rsid w:val="004B67EE"/>
    <w:rsid w:val="004C7078"/>
    <w:rsid w:val="004D1C3A"/>
    <w:rsid w:val="004D3F74"/>
    <w:rsid w:val="004F02F7"/>
    <w:rsid w:val="004F0A1C"/>
    <w:rsid w:val="004F305C"/>
    <w:rsid w:val="00500F0F"/>
    <w:rsid w:val="005039C5"/>
    <w:rsid w:val="00510DED"/>
    <w:rsid w:val="0051248D"/>
    <w:rsid w:val="0052757C"/>
    <w:rsid w:val="00527811"/>
    <w:rsid w:val="00535404"/>
    <w:rsid w:val="005407B6"/>
    <w:rsid w:val="00540CA4"/>
    <w:rsid w:val="00542BF9"/>
    <w:rsid w:val="00543CD3"/>
    <w:rsid w:val="0054405B"/>
    <w:rsid w:val="005478FB"/>
    <w:rsid w:val="005510AD"/>
    <w:rsid w:val="005562FD"/>
    <w:rsid w:val="0055764B"/>
    <w:rsid w:val="00560FC5"/>
    <w:rsid w:val="00562BE7"/>
    <w:rsid w:val="005654DD"/>
    <w:rsid w:val="0056708D"/>
    <w:rsid w:val="005737D9"/>
    <w:rsid w:val="00574B19"/>
    <w:rsid w:val="00581910"/>
    <w:rsid w:val="0058739A"/>
    <w:rsid w:val="005915D9"/>
    <w:rsid w:val="005940C3"/>
    <w:rsid w:val="005A37B8"/>
    <w:rsid w:val="005A5E76"/>
    <w:rsid w:val="005A710B"/>
    <w:rsid w:val="005B07F1"/>
    <w:rsid w:val="005B0B66"/>
    <w:rsid w:val="005B5B46"/>
    <w:rsid w:val="005B7EFE"/>
    <w:rsid w:val="005C18CC"/>
    <w:rsid w:val="005C29BA"/>
    <w:rsid w:val="005C2E08"/>
    <w:rsid w:val="005C4042"/>
    <w:rsid w:val="005D0083"/>
    <w:rsid w:val="005D7321"/>
    <w:rsid w:val="005E343F"/>
    <w:rsid w:val="005E5364"/>
    <w:rsid w:val="005F138E"/>
    <w:rsid w:val="005F1C99"/>
    <w:rsid w:val="005F3BB2"/>
    <w:rsid w:val="005F4F65"/>
    <w:rsid w:val="005F5C69"/>
    <w:rsid w:val="005F637C"/>
    <w:rsid w:val="005F6461"/>
    <w:rsid w:val="00607258"/>
    <w:rsid w:val="00607A54"/>
    <w:rsid w:val="006102B2"/>
    <w:rsid w:val="00611F87"/>
    <w:rsid w:val="006240BE"/>
    <w:rsid w:val="00632C3D"/>
    <w:rsid w:val="00632E7F"/>
    <w:rsid w:val="00635F82"/>
    <w:rsid w:val="00643469"/>
    <w:rsid w:val="006451B8"/>
    <w:rsid w:val="006624C7"/>
    <w:rsid w:val="006634A0"/>
    <w:rsid w:val="00683D4A"/>
    <w:rsid w:val="00685C38"/>
    <w:rsid w:val="00686DBD"/>
    <w:rsid w:val="0069354B"/>
    <w:rsid w:val="0069573A"/>
    <w:rsid w:val="006A01FC"/>
    <w:rsid w:val="006A43DF"/>
    <w:rsid w:val="006A5F40"/>
    <w:rsid w:val="006B2E07"/>
    <w:rsid w:val="006C6DD7"/>
    <w:rsid w:val="006D34E9"/>
    <w:rsid w:val="006E001B"/>
    <w:rsid w:val="006E0FB9"/>
    <w:rsid w:val="006E1805"/>
    <w:rsid w:val="006E3556"/>
    <w:rsid w:val="006E48A9"/>
    <w:rsid w:val="006E51F6"/>
    <w:rsid w:val="006E6078"/>
    <w:rsid w:val="006F32BF"/>
    <w:rsid w:val="006F4AAA"/>
    <w:rsid w:val="00701688"/>
    <w:rsid w:val="0071142D"/>
    <w:rsid w:val="00714A40"/>
    <w:rsid w:val="00716E94"/>
    <w:rsid w:val="0072048D"/>
    <w:rsid w:val="007206EE"/>
    <w:rsid w:val="0072193B"/>
    <w:rsid w:val="00722654"/>
    <w:rsid w:val="00722B2B"/>
    <w:rsid w:val="007237E8"/>
    <w:rsid w:val="00730698"/>
    <w:rsid w:val="007337DB"/>
    <w:rsid w:val="007408D7"/>
    <w:rsid w:val="0074510D"/>
    <w:rsid w:val="00750320"/>
    <w:rsid w:val="00750B09"/>
    <w:rsid w:val="00751922"/>
    <w:rsid w:val="007803A9"/>
    <w:rsid w:val="007874EE"/>
    <w:rsid w:val="007940B5"/>
    <w:rsid w:val="00794C45"/>
    <w:rsid w:val="007A0674"/>
    <w:rsid w:val="007B035D"/>
    <w:rsid w:val="007C0BE7"/>
    <w:rsid w:val="007C223E"/>
    <w:rsid w:val="007C4208"/>
    <w:rsid w:val="007D54EA"/>
    <w:rsid w:val="007D5D5D"/>
    <w:rsid w:val="007D5D7A"/>
    <w:rsid w:val="007D6218"/>
    <w:rsid w:val="007F19EE"/>
    <w:rsid w:val="00806133"/>
    <w:rsid w:val="00810CC4"/>
    <w:rsid w:val="00811AD4"/>
    <w:rsid w:val="00813F3A"/>
    <w:rsid w:val="008208A9"/>
    <w:rsid w:val="0083597E"/>
    <w:rsid w:val="008421DD"/>
    <w:rsid w:val="008423D2"/>
    <w:rsid w:val="00850F71"/>
    <w:rsid w:val="0085301A"/>
    <w:rsid w:val="008559EA"/>
    <w:rsid w:val="008562C0"/>
    <w:rsid w:val="008638C3"/>
    <w:rsid w:val="008736CC"/>
    <w:rsid w:val="00890763"/>
    <w:rsid w:val="008A6283"/>
    <w:rsid w:val="008A7ECF"/>
    <w:rsid w:val="008B1622"/>
    <w:rsid w:val="008B1D8C"/>
    <w:rsid w:val="008B586E"/>
    <w:rsid w:val="008C6FB4"/>
    <w:rsid w:val="008C74A3"/>
    <w:rsid w:val="008D1AC7"/>
    <w:rsid w:val="008D2A82"/>
    <w:rsid w:val="008D6213"/>
    <w:rsid w:val="008E54F0"/>
    <w:rsid w:val="008F1748"/>
    <w:rsid w:val="008F2D0A"/>
    <w:rsid w:val="008F3E7C"/>
    <w:rsid w:val="009116AA"/>
    <w:rsid w:val="00914D3D"/>
    <w:rsid w:val="00917D17"/>
    <w:rsid w:val="009260F7"/>
    <w:rsid w:val="00931741"/>
    <w:rsid w:val="00932937"/>
    <w:rsid w:val="0093578E"/>
    <w:rsid w:val="00935B04"/>
    <w:rsid w:val="0095436A"/>
    <w:rsid w:val="00955BBE"/>
    <w:rsid w:val="00956565"/>
    <w:rsid w:val="0095768B"/>
    <w:rsid w:val="00957FA2"/>
    <w:rsid w:val="009612F9"/>
    <w:rsid w:val="00961726"/>
    <w:rsid w:val="00966DF8"/>
    <w:rsid w:val="009733A8"/>
    <w:rsid w:val="00973C37"/>
    <w:rsid w:val="009836A7"/>
    <w:rsid w:val="00984578"/>
    <w:rsid w:val="00984CE1"/>
    <w:rsid w:val="009A12B5"/>
    <w:rsid w:val="009A259D"/>
    <w:rsid w:val="009B22F2"/>
    <w:rsid w:val="009B4A20"/>
    <w:rsid w:val="009B5CAD"/>
    <w:rsid w:val="009B6A79"/>
    <w:rsid w:val="009D6E6A"/>
    <w:rsid w:val="009F53E5"/>
    <w:rsid w:val="009F6DE2"/>
    <w:rsid w:val="00A032CB"/>
    <w:rsid w:val="00A0332C"/>
    <w:rsid w:val="00A15E02"/>
    <w:rsid w:val="00A17DB7"/>
    <w:rsid w:val="00A216A5"/>
    <w:rsid w:val="00A21DD2"/>
    <w:rsid w:val="00A2247A"/>
    <w:rsid w:val="00A24164"/>
    <w:rsid w:val="00A27656"/>
    <w:rsid w:val="00A30497"/>
    <w:rsid w:val="00A45086"/>
    <w:rsid w:val="00A46B1F"/>
    <w:rsid w:val="00A47CC8"/>
    <w:rsid w:val="00A55D32"/>
    <w:rsid w:val="00A61A79"/>
    <w:rsid w:val="00A62379"/>
    <w:rsid w:val="00A64BFF"/>
    <w:rsid w:val="00A74C5A"/>
    <w:rsid w:val="00A8107B"/>
    <w:rsid w:val="00A82990"/>
    <w:rsid w:val="00A83CDC"/>
    <w:rsid w:val="00A92E5E"/>
    <w:rsid w:val="00A97D7C"/>
    <w:rsid w:val="00AA0ECA"/>
    <w:rsid w:val="00AA0FF8"/>
    <w:rsid w:val="00AA10C5"/>
    <w:rsid w:val="00AB6B8C"/>
    <w:rsid w:val="00AB7C6D"/>
    <w:rsid w:val="00AC2948"/>
    <w:rsid w:val="00AC7DD4"/>
    <w:rsid w:val="00AD0714"/>
    <w:rsid w:val="00AD0D0D"/>
    <w:rsid w:val="00AD1F99"/>
    <w:rsid w:val="00AD4581"/>
    <w:rsid w:val="00AE16DA"/>
    <w:rsid w:val="00AF5DDE"/>
    <w:rsid w:val="00AF7B38"/>
    <w:rsid w:val="00B01DB8"/>
    <w:rsid w:val="00B02534"/>
    <w:rsid w:val="00B05ADA"/>
    <w:rsid w:val="00B0696C"/>
    <w:rsid w:val="00B06D39"/>
    <w:rsid w:val="00B169D6"/>
    <w:rsid w:val="00B2180D"/>
    <w:rsid w:val="00B22311"/>
    <w:rsid w:val="00B25AAB"/>
    <w:rsid w:val="00B30BF0"/>
    <w:rsid w:val="00B31F67"/>
    <w:rsid w:val="00B324B9"/>
    <w:rsid w:val="00B3437A"/>
    <w:rsid w:val="00B34F0F"/>
    <w:rsid w:val="00B353EA"/>
    <w:rsid w:val="00B427BE"/>
    <w:rsid w:val="00B43CE4"/>
    <w:rsid w:val="00B54910"/>
    <w:rsid w:val="00B618E7"/>
    <w:rsid w:val="00B64B76"/>
    <w:rsid w:val="00B674CF"/>
    <w:rsid w:val="00B739FD"/>
    <w:rsid w:val="00B81265"/>
    <w:rsid w:val="00B87192"/>
    <w:rsid w:val="00B90A17"/>
    <w:rsid w:val="00BA2881"/>
    <w:rsid w:val="00BA7C51"/>
    <w:rsid w:val="00BB099F"/>
    <w:rsid w:val="00BB785C"/>
    <w:rsid w:val="00BC3A14"/>
    <w:rsid w:val="00BC52C0"/>
    <w:rsid w:val="00BD72DF"/>
    <w:rsid w:val="00BE72D9"/>
    <w:rsid w:val="00C00C9F"/>
    <w:rsid w:val="00C048D9"/>
    <w:rsid w:val="00C069A9"/>
    <w:rsid w:val="00C07570"/>
    <w:rsid w:val="00C130FD"/>
    <w:rsid w:val="00C14684"/>
    <w:rsid w:val="00C23FC2"/>
    <w:rsid w:val="00C25A49"/>
    <w:rsid w:val="00C25D02"/>
    <w:rsid w:val="00C31A8A"/>
    <w:rsid w:val="00C31D2F"/>
    <w:rsid w:val="00C32F1F"/>
    <w:rsid w:val="00C37834"/>
    <w:rsid w:val="00C403C7"/>
    <w:rsid w:val="00C41A64"/>
    <w:rsid w:val="00C420B8"/>
    <w:rsid w:val="00C431BB"/>
    <w:rsid w:val="00C52A7D"/>
    <w:rsid w:val="00C52D64"/>
    <w:rsid w:val="00C54360"/>
    <w:rsid w:val="00C55D65"/>
    <w:rsid w:val="00C55F80"/>
    <w:rsid w:val="00C5621D"/>
    <w:rsid w:val="00C61E63"/>
    <w:rsid w:val="00C62ED5"/>
    <w:rsid w:val="00C6490C"/>
    <w:rsid w:val="00C70002"/>
    <w:rsid w:val="00C70DC3"/>
    <w:rsid w:val="00C85C7E"/>
    <w:rsid w:val="00C87627"/>
    <w:rsid w:val="00C9021F"/>
    <w:rsid w:val="00CA06DD"/>
    <w:rsid w:val="00CA2CA1"/>
    <w:rsid w:val="00CA3BBD"/>
    <w:rsid w:val="00CA3ED2"/>
    <w:rsid w:val="00CA68CB"/>
    <w:rsid w:val="00CB3932"/>
    <w:rsid w:val="00CB6273"/>
    <w:rsid w:val="00CC0678"/>
    <w:rsid w:val="00CD00E1"/>
    <w:rsid w:val="00CD2901"/>
    <w:rsid w:val="00CD4310"/>
    <w:rsid w:val="00CD45C5"/>
    <w:rsid w:val="00CE082E"/>
    <w:rsid w:val="00CE28F1"/>
    <w:rsid w:val="00CE4FAD"/>
    <w:rsid w:val="00CF2620"/>
    <w:rsid w:val="00D02E67"/>
    <w:rsid w:val="00D104E7"/>
    <w:rsid w:val="00D12164"/>
    <w:rsid w:val="00D14DB6"/>
    <w:rsid w:val="00D1522C"/>
    <w:rsid w:val="00D246C6"/>
    <w:rsid w:val="00D2541F"/>
    <w:rsid w:val="00D26670"/>
    <w:rsid w:val="00D4010A"/>
    <w:rsid w:val="00D4088B"/>
    <w:rsid w:val="00D4123D"/>
    <w:rsid w:val="00D43374"/>
    <w:rsid w:val="00D53FF8"/>
    <w:rsid w:val="00D642D0"/>
    <w:rsid w:val="00D710C7"/>
    <w:rsid w:val="00D84067"/>
    <w:rsid w:val="00D84E14"/>
    <w:rsid w:val="00D938A4"/>
    <w:rsid w:val="00D96AEF"/>
    <w:rsid w:val="00DA37C0"/>
    <w:rsid w:val="00DA581A"/>
    <w:rsid w:val="00DB01EB"/>
    <w:rsid w:val="00DB25B5"/>
    <w:rsid w:val="00DB5674"/>
    <w:rsid w:val="00DB5FDF"/>
    <w:rsid w:val="00DC16BA"/>
    <w:rsid w:val="00DC2C41"/>
    <w:rsid w:val="00DC342A"/>
    <w:rsid w:val="00DD7BFB"/>
    <w:rsid w:val="00DE104F"/>
    <w:rsid w:val="00DE785F"/>
    <w:rsid w:val="00DE7DB0"/>
    <w:rsid w:val="00DF4DE1"/>
    <w:rsid w:val="00E11467"/>
    <w:rsid w:val="00E13F82"/>
    <w:rsid w:val="00E14205"/>
    <w:rsid w:val="00E15DCC"/>
    <w:rsid w:val="00E164FE"/>
    <w:rsid w:val="00E165F4"/>
    <w:rsid w:val="00E226CF"/>
    <w:rsid w:val="00E3100F"/>
    <w:rsid w:val="00E37534"/>
    <w:rsid w:val="00E433BB"/>
    <w:rsid w:val="00E433D9"/>
    <w:rsid w:val="00E52433"/>
    <w:rsid w:val="00E534D2"/>
    <w:rsid w:val="00E63B23"/>
    <w:rsid w:val="00E72C82"/>
    <w:rsid w:val="00E77516"/>
    <w:rsid w:val="00E82DBE"/>
    <w:rsid w:val="00E93508"/>
    <w:rsid w:val="00EA014C"/>
    <w:rsid w:val="00EA1F4A"/>
    <w:rsid w:val="00EB091C"/>
    <w:rsid w:val="00EB2FA7"/>
    <w:rsid w:val="00EB45DE"/>
    <w:rsid w:val="00EB549F"/>
    <w:rsid w:val="00EB54ED"/>
    <w:rsid w:val="00EB76AB"/>
    <w:rsid w:val="00EC05F9"/>
    <w:rsid w:val="00EC0979"/>
    <w:rsid w:val="00EC3B6F"/>
    <w:rsid w:val="00EC58FE"/>
    <w:rsid w:val="00EC622E"/>
    <w:rsid w:val="00EC659B"/>
    <w:rsid w:val="00EC70BF"/>
    <w:rsid w:val="00ED0DF4"/>
    <w:rsid w:val="00ED0E0C"/>
    <w:rsid w:val="00EE5A50"/>
    <w:rsid w:val="00F01337"/>
    <w:rsid w:val="00F01761"/>
    <w:rsid w:val="00F01C46"/>
    <w:rsid w:val="00F03518"/>
    <w:rsid w:val="00F12563"/>
    <w:rsid w:val="00F13280"/>
    <w:rsid w:val="00F17CE4"/>
    <w:rsid w:val="00F20937"/>
    <w:rsid w:val="00F21732"/>
    <w:rsid w:val="00F22CFF"/>
    <w:rsid w:val="00F236FC"/>
    <w:rsid w:val="00F256D9"/>
    <w:rsid w:val="00F30EAD"/>
    <w:rsid w:val="00F34B66"/>
    <w:rsid w:val="00F37DE7"/>
    <w:rsid w:val="00F44571"/>
    <w:rsid w:val="00F508E7"/>
    <w:rsid w:val="00F52722"/>
    <w:rsid w:val="00F5399B"/>
    <w:rsid w:val="00F56DDE"/>
    <w:rsid w:val="00F572B5"/>
    <w:rsid w:val="00F57B7F"/>
    <w:rsid w:val="00F6125C"/>
    <w:rsid w:val="00F72F68"/>
    <w:rsid w:val="00F77C0B"/>
    <w:rsid w:val="00F80FAB"/>
    <w:rsid w:val="00F83B56"/>
    <w:rsid w:val="00F92540"/>
    <w:rsid w:val="00FA19EF"/>
    <w:rsid w:val="00FA4944"/>
    <w:rsid w:val="00FA77CA"/>
    <w:rsid w:val="00FA7AC3"/>
    <w:rsid w:val="00FB0D3D"/>
    <w:rsid w:val="00FD6F5B"/>
    <w:rsid w:val="00FE39C3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41A28F3F"/>
  <w15:docId w15:val="{24017DEE-45EA-4A9E-8F84-2AF3C6EC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E5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53E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F53E5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FF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53FF8"/>
  </w:style>
  <w:style w:type="paragraph" w:styleId="Rodap">
    <w:name w:val="footer"/>
    <w:basedOn w:val="Normal"/>
    <w:link w:val="RodapChar"/>
    <w:uiPriority w:val="99"/>
    <w:unhideWhenUsed/>
    <w:rsid w:val="00D53FF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53FF8"/>
  </w:style>
  <w:style w:type="paragraph" w:styleId="Textodebalo">
    <w:name w:val="Balloon Text"/>
    <w:basedOn w:val="Normal"/>
    <w:link w:val="TextodebaloChar"/>
    <w:uiPriority w:val="99"/>
    <w:semiHidden/>
    <w:unhideWhenUsed/>
    <w:rsid w:val="00D53FF8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53FF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30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rsid w:val="009F53E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6Char">
    <w:name w:val="Título 6 Char"/>
    <w:link w:val="Ttulo6"/>
    <w:rsid w:val="009F53E5"/>
    <w:rPr>
      <w:rFonts w:ascii="Arial" w:eastAsia="Times New Roman" w:hAnsi="Arial" w:cs="Arial"/>
      <w:b/>
      <w:bCs/>
      <w:szCs w:val="20"/>
      <w:lang w:eastAsia="pt-BR"/>
    </w:rPr>
  </w:style>
  <w:style w:type="paragraph" w:styleId="SemEspaamento">
    <w:name w:val="No Spacing"/>
    <w:uiPriority w:val="1"/>
    <w:qFormat/>
    <w:rsid w:val="00F17CE4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D6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AF3E-427D-4637-83D8-A1A92C51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Cartório 1° oficio</cp:lastModifiedBy>
  <cp:revision>9</cp:revision>
  <cp:lastPrinted>2022-05-02T12:17:00Z</cp:lastPrinted>
  <dcterms:created xsi:type="dcterms:W3CDTF">2021-03-29T13:52:00Z</dcterms:created>
  <dcterms:modified xsi:type="dcterms:W3CDTF">2022-07-20T18:20:00Z</dcterms:modified>
</cp:coreProperties>
</file>